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85ECE" w14:textId="77777777" w:rsidR="00CA72E5" w:rsidRDefault="00BD340C" w:rsidP="00CA72E5">
      <w:pPr>
        <w:pStyle w:val="Heading1"/>
        <w:jc w:val="center"/>
        <w:rPr>
          <w:sz w:val="40"/>
          <w:szCs w:val="40"/>
        </w:rPr>
      </w:pPr>
      <w:r w:rsidRPr="34C101F7">
        <w:rPr>
          <w:sz w:val="40"/>
          <w:szCs w:val="40"/>
        </w:rPr>
        <w:t xml:space="preserve"> </w:t>
      </w:r>
      <w:r w:rsidR="00CA72E5" w:rsidRPr="34C101F7">
        <w:rPr>
          <w:sz w:val="40"/>
          <w:szCs w:val="40"/>
        </w:rPr>
        <w:t>Submission to the Economic Reform Roundtable</w:t>
      </w:r>
    </w:p>
    <w:p w14:paraId="26C9CA12" w14:textId="77777777" w:rsidR="00CA72E5" w:rsidRDefault="00CA72E5" w:rsidP="00CA72E5">
      <w:pPr>
        <w:pStyle w:val="Heading1"/>
        <w:jc w:val="center"/>
        <w:rPr>
          <w:sz w:val="40"/>
          <w:szCs w:val="40"/>
        </w:rPr>
      </w:pPr>
      <w:bookmarkStart w:id="0" w:name="_GoBack"/>
      <w:r>
        <w:t>July 2025</w:t>
      </w:r>
    </w:p>
    <w:bookmarkEnd w:id="0"/>
    <w:p w14:paraId="2659E816" w14:textId="77777777" w:rsidR="00CA72E5" w:rsidRPr="00BD340C" w:rsidRDefault="00CA72E5" w:rsidP="00CA72E5"/>
    <w:p w14:paraId="62295BC6" w14:textId="77777777" w:rsidR="00CA72E5" w:rsidRPr="00A21BFA" w:rsidRDefault="00CA72E5" w:rsidP="00CA72E5">
      <w:pPr>
        <w:pStyle w:val="paragraph"/>
        <w:spacing w:before="120" w:beforeAutospacing="0" w:after="120" w:afterAutospacing="0" w:line="260" w:lineRule="atLeast"/>
        <w:textAlignment w:val="baseline"/>
        <w:rPr>
          <w:rFonts w:asciiTheme="minorHAnsi" w:eastAsiaTheme="minorHAnsi" w:hAnsiTheme="minorHAnsi"/>
          <w:b/>
          <w:color w:val="000000" w:themeColor="text1"/>
          <w:sz w:val="32"/>
          <w:szCs w:val="32"/>
          <w:lang w:eastAsia="en-US"/>
        </w:rPr>
      </w:pPr>
      <w:r>
        <w:rPr>
          <w:rFonts w:asciiTheme="minorHAnsi" w:eastAsiaTheme="minorHAnsi" w:hAnsiTheme="minorHAnsi"/>
          <w:b/>
          <w:color w:val="000000" w:themeColor="text1"/>
          <w:sz w:val="32"/>
          <w:szCs w:val="32"/>
          <w:lang w:eastAsia="en-US"/>
        </w:rPr>
        <w:t>Context</w:t>
      </w:r>
    </w:p>
    <w:p w14:paraId="67B29537" w14:textId="77777777" w:rsidR="00CA72E5" w:rsidRDefault="00CA72E5" w:rsidP="00CA72E5">
      <w:pPr>
        <w:pStyle w:val="paragraph"/>
        <w:spacing w:before="120" w:beforeAutospacing="0" w:after="120" w:afterAutospacing="0" w:line="260" w:lineRule="atLeast"/>
        <w:textAlignment w:val="baseline"/>
        <w:rPr>
          <w:rFonts w:asciiTheme="minorHAnsi" w:eastAsiaTheme="minorEastAsia" w:hAnsiTheme="minorHAnsi"/>
          <w:color w:val="000000" w:themeColor="text1"/>
          <w:sz w:val="20"/>
          <w:szCs w:val="20"/>
          <w:lang w:eastAsia="en-US"/>
        </w:rPr>
      </w:pPr>
      <w:r w:rsidRPr="6FB95369">
        <w:rPr>
          <w:rFonts w:asciiTheme="minorHAnsi" w:eastAsiaTheme="minorEastAsia" w:hAnsiTheme="minorHAnsi"/>
          <w:color w:val="000000" w:themeColor="text1"/>
          <w:sz w:val="20"/>
          <w:szCs w:val="20"/>
          <w:lang w:eastAsia="en-US"/>
        </w:rPr>
        <w:t xml:space="preserve">The </w:t>
      </w:r>
      <w:r>
        <w:rPr>
          <w:rFonts w:asciiTheme="minorHAnsi" w:eastAsiaTheme="minorEastAsia" w:hAnsiTheme="minorHAnsi"/>
          <w:color w:val="000000" w:themeColor="text1"/>
          <w:sz w:val="20"/>
          <w:szCs w:val="20"/>
          <w:lang w:eastAsia="en-US"/>
        </w:rPr>
        <w:t xml:space="preserve">Australian Government is </w:t>
      </w:r>
      <w:r w:rsidRPr="6FB95369">
        <w:rPr>
          <w:rFonts w:asciiTheme="minorHAnsi" w:eastAsiaTheme="minorEastAsia" w:hAnsiTheme="minorHAnsi"/>
          <w:color w:val="000000" w:themeColor="text1"/>
          <w:sz w:val="20"/>
          <w:szCs w:val="20"/>
          <w:lang w:eastAsia="en-US"/>
        </w:rPr>
        <w:t xml:space="preserve">committed to net zero by 2050. The Government has also committed to a Future Made in Australia, an expanded and </w:t>
      </w:r>
      <w:r>
        <w:rPr>
          <w:rFonts w:asciiTheme="minorHAnsi" w:eastAsiaTheme="minorEastAsia" w:hAnsiTheme="minorHAnsi"/>
          <w:color w:val="000000" w:themeColor="text1"/>
          <w:sz w:val="20"/>
          <w:szCs w:val="20"/>
          <w:lang w:eastAsia="en-US"/>
        </w:rPr>
        <w:t>renewable</w:t>
      </w:r>
      <w:r w:rsidRPr="6FB95369">
        <w:rPr>
          <w:rFonts w:asciiTheme="minorHAnsi" w:eastAsiaTheme="minorEastAsia" w:hAnsiTheme="minorHAnsi"/>
          <w:color w:val="000000" w:themeColor="text1"/>
          <w:sz w:val="20"/>
          <w:szCs w:val="20"/>
          <w:lang w:eastAsia="en-US"/>
        </w:rPr>
        <w:t xml:space="preserve"> energy grid to support electrification across the economy and a smooth and orderly transition with no-one left behind. </w:t>
      </w:r>
    </w:p>
    <w:p w14:paraId="49135A76" w14:textId="77777777" w:rsidR="00CA72E5" w:rsidRPr="001E2348" w:rsidRDefault="00CA72E5" w:rsidP="00CA72E5">
      <w:pPr>
        <w:pStyle w:val="paragraph"/>
        <w:spacing w:before="120" w:beforeAutospacing="0" w:after="120" w:afterAutospacing="0" w:line="260" w:lineRule="atLeast"/>
        <w:textAlignment w:val="baseline"/>
        <w:rPr>
          <w:rFonts w:asciiTheme="minorHAnsi" w:eastAsiaTheme="minorEastAsia" w:hAnsiTheme="minorHAnsi"/>
          <w:color w:val="000000" w:themeColor="text1"/>
          <w:sz w:val="20"/>
          <w:szCs w:val="20"/>
          <w:lang w:eastAsia="en-US"/>
        </w:rPr>
      </w:pPr>
      <w:r w:rsidRPr="78147324">
        <w:rPr>
          <w:rFonts w:asciiTheme="minorHAnsi" w:eastAsiaTheme="minorEastAsia" w:hAnsiTheme="minorHAnsi"/>
          <w:color w:val="000000" w:themeColor="text1"/>
          <w:sz w:val="20"/>
          <w:szCs w:val="20"/>
          <w:lang w:eastAsia="en-US"/>
        </w:rPr>
        <w:t>The net zero transformation is one of the most significant economic shifts and opportunities since the Industrial Revolution. The scale and significance of efforts to reduce emissions is transforming industries,</w:t>
      </w:r>
      <w:r>
        <w:rPr>
          <w:rFonts w:asciiTheme="minorHAnsi" w:eastAsiaTheme="minorEastAsia" w:hAnsiTheme="minorHAnsi"/>
          <w:color w:val="000000" w:themeColor="text1"/>
          <w:sz w:val="20"/>
          <w:szCs w:val="20"/>
          <w:lang w:eastAsia="en-US"/>
        </w:rPr>
        <w:t xml:space="preserve"> and</w:t>
      </w:r>
      <w:r w:rsidRPr="78147324">
        <w:rPr>
          <w:rFonts w:asciiTheme="minorHAnsi" w:eastAsiaTheme="minorEastAsia" w:hAnsiTheme="minorHAnsi"/>
          <w:color w:val="000000" w:themeColor="text1"/>
          <w:sz w:val="20"/>
          <w:szCs w:val="20"/>
          <w:lang w:eastAsia="en-US"/>
        </w:rPr>
        <w:t xml:space="preserve"> impacting communities and workers. It provides a one-time opportunity to transform Australia’s economy and specific regions by building on existing capacity,</w:t>
      </w:r>
      <w:r>
        <w:rPr>
          <w:rFonts w:asciiTheme="minorHAnsi" w:eastAsiaTheme="minorEastAsia" w:hAnsiTheme="minorHAnsi"/>
          <w:color w:val="000000" w:themeColor="text1"/>
          <w:sz w:val="20"/>
          <w:szCs w:val="20"/>
          <w:lang w:eastAsia="en-US"/>
        </w:rPr>
        <w:t xml:space="preserve"> and</w:t>
      </w:r>
      <w:r w:rsidRPr="78147324">
        <w:rPr>
          <w:rFonts w:asciiTheme="minorHAnsi" w:eastAsiaTheme="minorEastAsia" w:hAnsiTheme="minorHAnsi"/>
          <w:color w:val="000000" w:themeColor="text1"/>
          <w:sz w:val="20"/>
          <w:szCs w:val="20"/>
          <w:lang w:eastAsia="en-US"/>
        </w:rPr>
        <w:t xml:space="preserve"> investing in new industries. </w:t>
      </w:r>
    </w:p>
    <w:p w14:paraId="068247E6" w14:textId="77777777" w:rsidR="00CA72E5" w:rsidRDefault="00CA72E5" w:rsidP="00CA72E5">
      <w:pPr>
        <w:pStyle w:val="paragraph"/>
        <w:spacing w:before="120" w:beforeAutospacing="0" w:after="120" w:afterAutospacing="0" w:line="260" w:lineRule="atLeast"/>
        <w:textAlignment w:val="baseline"/>
        <w:rPr>
          <w:rFonts w:asciiTheme="minorHAnsi" w:eastAsiaTheme="minorEastAsia" w:hAnsiTheme="minorHAnsi"/>
          <w:sz w:val="20"/>
          <w:szCs w:val="20"/>
          <w:lang w:eastAsia="en-US"/>
        </w:rPr>
      </w:pPr>
      <w:r w:rsidRPr="00704BEA">
        <w:rPr>
          <w:rFonts w:asciiTheme="minorHAnsi" w:eastAsiaTheme="minorEastAsia" w:hAnsiTheme="minorHAnsi"/>
          <w:sz w:val="20"/>
          <w:szCs w:val="20"/>
          <w:lang w:eastAsia="en-US"/>
        </w:rPr>
        <w:t>The Net Zero Economy Author</w:t>
      </w:r>
      <w:r w:rsidRPr="008A0478">
        <w:rPr>
          <w:rFonts w:asciiTheme="minorHAnsi" w:eastAsiaTheme="minorEastAsia" w:hAnsiTheme="minorHAnsi"/>
          <w:sz w:val="20"/>
          <w:szCs w:val="20"/>
          <w:lang w:eastAsia="en-US"/>
        </w:rPr>
        <w:t>ity (Authority) has been created by to facilitate an orderly and positive transition</w:t>
      </w:r>
      <w:r>
        <w:rPr>
          <w:rFonts w:asciiTheme="minorHAnsi" w:eastAsiaTheme="minorEastAsia" w:hAnsiTheme="minorHAnsi"/>
          <w:sz w:val="20"/>
          <w:szCs w:val="20"/>
          <w:lang w:eastAsia="en-US"/>
        </w:rPr>
        <w:t>.</w:t>
      </w:r>
    </w:p>
    <w:p w14:paraId="4F0CECAA" w14:textId="77777777" w:rsidR="00CA72E5" w:rsidRDefault="00CA72E5" w:rsidP="00CA72E5">
      <w:r>
        <w:t xml:space="preserve">The Authority seeks to identify, develop and connect potential projects in our priority regions to government financing vehicles. In particular, the Authority is focusing on investment where there is a strong case for government to be involved, with clear benefits for communities and regions. </w:t>
      </w:r>
      <w:r w:rsidRPr="00704BEA">
        <w:rPr>
          <w:color w:val="auto"/>
        </w:rPr>
        <w:t>Transitioning communities want to know governments will be with them through the tra</w:t>
      </w:r>
      <w:r>
        <w:rPr>
          <w:color w:val="auto"/>
        </w:rPr>
        <w:t>nsition</w:t>
      </w:r>
      <w:r w:rsidRPr="00704BEA">
        <w:rPr>
          <w:color w:val="auto"/>
        </w:rPr>
        <w:t xml:space="preserve">. </w:t>
      </w:r>
    </w:p>
    <w:p w14:paraId="3DE012BF" w14:textId="5CDEE0C4" w:rsidR="00CA72E5" w:rsidRPr="00BD340C" w:rsidRDefault="00CA72E5" w:rsidP="00CA72E5">
      <w:r>
        <w:t>The Authority has embraced a collaborative model, w</w:t>
      </w:r>
      <w:r w:rsidR="004638A1">
        <w:t>orking across our regions with s</w:t>
      </w:r>
      <w:r>
        <w:t xml:space="preserve">tate and local governments and importantly with industry, communities, and other stakeholder groups. </w:t>
      </w:r>
      <w:r w:rsidRPr="008A0478">
        <w:t xml:space="preserve">The Authority is currently focusing on four regions, including Collie in Western Australia, Central Queensland, the Hunter in New South Wales, </w:t>
      </w:r>
      <w:r w:rsidR="004638A1">
        <w:t xml:space="preserve">and </w:t>
      </w:r>
      <w:r w:rsidRPr="008A0478">
        <w:t xml:space="preserve">the Latrobe Valley in Victoria. It is also taking a project-led approach to transformational projects in the Pilbara in Western Australia and the Upper Spencer Gulf in South Australia. </w:t>
      </w:r>
    </w:p>
    <w:p w14:paraId="583BECD2" w14:textId="77777777" w:rsidR="00CA72E5" w:rsidRPr="001E2348" w:rsidRDefault="00CA72E5" w:rsidP="00CA72E5">
      <w:pPr>
        <w:pStyle w:val="paragraph"/>
        <w:spacing w:before="120" w:beforeAutospacing="0" w:after="120" w:afterAutospacing="0" w:line="260" w:lineRule="atLeast"/>
        <w:textAlignment w:val="baseline"/>
        <w:rPr>
          <w:rFonts w:asciiTheme="minorHAnsi" w:eastAsiaTheme="minorHAnsi" w:hAnsiTheme="minorHAnsi"/>
          <w:b/>
          <w:color w:val="000000" w:themeColor="text1"/>
          <w:sz w:val="32"/>
          <w:szCs w:val="32"/>
          <w:lang w:eastAsia="en-US"/>
        </w:rPr>
      </w:pPr>
      <w:r>
        <w:rPr>
          <w:rFonts w:asciiTheme="minorHAnsi" w:eastAsiaTheme="minorEastAsia" w:hAnsiTheme="minorHAnsi"/>
          <w:b/>
          <w:bCs/>
          <w:color w:val="000000" w:themeColor="text1"/>
          <w:sz w:val="32"/>
          <w:szCs w:val="32"/>
          <w:lang w:eastAsia="en-US"/>
        </w:rPr>
        <w:br/>
      </w:r>
      <w:r w:rsidRPr="45DC5BF2">
        <w:rPr>
          <w:rFonts w:asciiTheme="minorHAnsi" w:eastAsiaTheme="minorEastAsia" w:hAnsiTheme="minorHAnsi"/>
          <w:b/>
          <w:bCs/>
          <w:color w:val="000000" w:themeColor="text1"/>
          <w:sz w:val="32"/>
          <w:szCs w:val="32"/>
          <w:lang w:eastAsia="en-US"/>
        </w:rPr>
        <w:t>Work of the Authority</w:t>
      </w:r>
    </w:p>
    <w:p w14:paraId="0DF9206A" w14:textId="77777777" w:rsidR="00CA72E5" w:rsidRPr="008A0478" w:rsidRDefault="00CA72E5" w:rsidP="00CA72E5">
      <w:pPr>
        <w:rPr>
          <w:color w:val="auto"/>
        </w:rPr>
      </w:pPr>
      <w:r w:rsidRPr="008A0478">
        <w:rPr>
          <w:color w:val="auto"/>
        </w:rPr>
        <w:t xml:space="preserve">The Authority has responsibility for the establishment and operation of the Energy Industry Jobs Plan (EIJP). Under the EIJP the CEO of the Authority is responsible for initiating community of interest processes to support the making of an informed decision on whether to apply to the Fair Work Commission for a community of interest determination. </w:t>
      </w:r>
    </w:p>
    <w:p w14:paraId="295D3A1B" w14:textId="77777777" w:rsidR="00CA72E5" w:rsidRPr="00E43FA7" w:rsidRDefault="00CA72E5" w:rsidP="00CA72E5">
      <w:pPr>
        <w:rPr>
          <w:color w:val="auto"/>
        </w:rPr>
      </w:pPr>
      <w:r w:rsidRPr="00704BEA">
        <w:rPr>
          <w:color w:val="auto"/>
        </w:rPr>
        <w:t xml:space="preserve">This process involves identifying closing and dependent employers and obtaining relevant information concerning their employees. </w:t>
      </w:r>
      <w:r w:rsidRPr="00704BEA">
        <w:rPr>
          <w:rFonts w:cstheme="minorHAnsi"/>
          <w:color w:val="auto"/>
        </w:rPr>
        <w:t>T</w:t>
      </w:r>
      <w:r w:rsidRPr="00704BEA">
        <w:rPr>
          <w:rFonts w:eastAsia="Segoe UI" w:cstheme="minorHAnsi"/>
          <w:color w:val="auto"/>
        </w:rPr>
        <w:t xml:space="preserve">he CEO of the Authority is currently consulting with unions, employers and communities to assess the impact of the closure of Torrens B and Eraring power stations, which are due to cease </w:t>
      </w:r>
      <w:r w:rsidRPr="00E43FA7">
        <w:rPr>
          <w:rFonts w:eastAsia="Segoe UI" w:cstheme="minorHAnsi"/>
          <w:color w:val="auto"/>
        </w:rPr>
        <w:t>operations in July 2026 and August 2027 respectively.</w:t>
      </w:r>
    </w:p>
    <w:p w14:paraId="788AEF1A" w14:textId="6E4AA79B" w:rsidR="00CA72E5" w:rsidRPr="006E5310" w:rsidRDefault="00CA72E5" w:rsidP="00CA72E5">
      <w:pPr>
        <w:pStyle w:val="CommentText"/>
        <w:spacing w:line="276" w:lineRule="auto"/>
        <w:rPr>
          <w:color w:val="FF0000"/>
        </w:rPr>
      </w:pPr>
      <w:r w:rsidRPr="00E43FA7">
        <w:rPr>
          <w:color w:val="auto"/>
        </w:rPr>
        <w:t xml:space="preserve">The CEO is required to complete a review of the operation of the EIJP within 12 months of the commencement of the </w:t>
      </w:r>
      <w:r w:rsidRPr="00E43FA7">
        <w:rPr>
          <w:i/>
          <w:color w:val="auto"/>
        </w:rPr>
        <w:t>Net Zero Economy Authority Act 2024</w:t>
      </w:r>
      <w:r w:rsidRPr="00E43FA7">
        <w:rPr>
          <w:color w:val="auto"/>
        </w:rPr>
        <w:t xml:space="preserve"> (NZEA Act 2024). The Authority </w:t>
      </w:r>
      <w:r>
        <w:rPr>
          <w:color w:val="auto"/>
        </w:rPr>
        <w:t>has</w:t>
      </w:r>
      <w:r w:rsidRPr="00E43FA7">
        <w:rPr>
          <w:color w:val="auto"/>
        </w:rPr>
        <w:t xml:space="preserve"> engaged</w:t>
      </w:r>
      <w:r w:rsidRPr="00E43FA7">
        <w:rPr>
          <w:i/>
          <w:iCs/>
          <w:color w:val="auto"/>
        </w:rPr>
        <w:t xml:space="preserve"> </w:t>
      </w:r>
      <w:r w:rsidRPr="00E43FA7">
        <w:rPr>
          <w:color w:val="auto"/>
        </w:rPr>
        <w:t xml:space="preserve">Emeritus Professor Roy Green to independently review the effectiveness </w:t>
      </w:r>
      <w:r w:rsidRPr="00704BEA">
        <w:rPr>
          <w:color w:val="auto"/>
        </w:rPr>
        <w:t xml:space="preserve">of Part 5 of the </w:t>
      </w:r>
      <w:r w:rsidRPr="00E43FA7">
        <w:rPr>
          <w:i/>
          <w:color w:val="auto"/>
        </w:rPr>
        <w:t>NZEA Act 2024</w:t>
      </w:r>
      <w:r w:rsidRPr="00704BEA">
        <w:rPr>
          <w:color w:val="auto"/>
        </w:rPr>
        <w:t xml:space="preserve"> by the end of this year, including to ensure that it is operating as the Parliament intended. This review will also identify opportunities to ensure that </w:t>
      </w:r>
      <w:r>
        <w:rPr>
          <w:color w:val="auto"/>
        </w:rPr>
        <w:t xml:space="preserve">the administration of </w:t>
      </w:r>
      <w:r w:rsidR="00DF7FEE">
        <w:rPr>
          <w:color w:val="auto"/>
        </w:rPr>
        <w:t>Part 5 is as efficient</w:t>
      </w:r>
      <w:r w:rsidRPr="00704BEA">
        <w:rPr>
          <w:color w:val="auto"/>
        </w:rPr>
        <w:t xml:space="preserve"> as possible. </w:t>
      </w:r>
    </w:p>
    <w:p w14:paraId="085862AF" w14:textId="77777777" w:rsidR="006853B7" w:rsidRDefault="006853B7" w:rsidP="00CA72E5"/>
    <w:p w14:paraId="0503BBB9" w14:textId="2C16F8ED" w:rsidR="00CA72E5" w:rsidRDefault="00CA72E5" w:rsidP="00CA72E5">
      <w:r>
        <w:lastRenderedPageBreak/>
        <w:t>The Board has established a Stakeholder Panel to seek regular input and advice to shape the Authority’s work. This partnership with representative bodies from industry, employers, civil society and First Nations organisations will be critical to sharing knowledge and identifying barriers to progress. Similarly, the Authority will join as an inaugural member of the Australian Climate Councils Network, which is being led by the Climate Change Authority to link</w:t>
      </w:r>
      <w:r w:rsidR="004638A1">
        <w:t xml:space="preserve"> state and t</w:t>
      </w:r>
      <w:r>
        <w:t xml:space="preserve">erritory agencies charged with climate change and transition advice. </w:t>
      </w:r>
    </w:p>
    <w:p w14:paraId="7B4564AC" w14:textId="77777777" w:rsidR="00CA72E5" w:rsidRPr="002F35D2" w:rsidRDefault="00CA72E5" w:rsidP="00CA72E5">
      <w:pPr>
        <w:rPr>
          <w:color w:val="auto"/>
        </w:rPr>
      </w:pPr>
      <w:r w:rsidRPr="00704BEA">
        <w:rPr>
          <w:color w:val="auto"/>
        </w:rPr>
        <w:t xml:space="preserve">The Authority is proactively engaging with a number of jurisdictions including Scotland, Germany and Spain to learn from their transition </w:t>
      </w:r>
      <w:r w:rsidRPr="002F35D2">
        <w:rPr>
          <w:color w:val="auto"/>
        </w:rPr>
        <w:t xml:space="preserve">experiences. The Authority is working with its Scottish counterparts to set up a network of international net zero transition bodies to collaborate on issues of shared interest and to exchange information. Our early engagements with our counterparts confirm that transitioning communities are looking to national governments for leadership and long-term commitments, for the duration of the transition. </w:t>
      </w:r>
    </w:p>
    <w:p w14:paraId="30340ABA" w14:textId="22C81E7E" w:rsidR="00CA72E5" w:rsidRPr="00473FCD" w:rsidRDefault="00CA72E5" w:rsidP="00CA72E5">
      <w:r>
        <w:t>The Authority is also engaging across the Commonwealth, including directly with the Clean Energy Finance Corporation, the Northern Australia Infrastructure Facility, the Regional Investment Corporation, the National Reconstruction Fund</w:t>
      </w:r>
      <w:r w:rsidR="004638A1">
        <w:t xml:space="preserve"> Corporation, </w:t>
      </w:r>
      <w:r>
        <w:t xml:space="preserve">Export Finance Australia, the Australian Renewable Energy Agency, and Housing Australia as required by the </w:t>
      </w:r>
      <w:r w:rsidRPr="7C0BE427">
        <w:rPr>
          <w:i/>
          <w:iCs/>
        </w:rPr>
        <w:t>NZEA Act 2024</w:t>
      </w:r>
      <w:r>
        <w:t>. Once established, the Authority will also work in close collaboration with the Future Made in Australia Front Door that will facilitate national priority projects.</w:t>
      </w:r>
    </w:p>
    <w:p w14:paraId="578C5F4E" w14:textId="77777777" w:rsidR="00CA72E5" w:rsidRPr="00704BEA" w:rsidRDefault="00CA72E5" w:rsidP="00CA72E5">
      <w:pPr>
        <w:pStyle w:val="paragraph"/>
        <w:spacing w:before="120" w:beforeAutospacing="0" w:after="120" w:afterAutospacing="0" w:line="260" w:lineRule="atLeast"/>
        <w:textAlignment w:val="baseline"/>
        <w:rPr>
          <w:rFonts w:asciiTheme="minorHAnsi" w:eastAsiaTheme="minorHAnsi" w:hAnsiTheme="minorHAnsi"/>
          <w:b/>
          <w:sz w:val="32"/>
          <w:szCs w:val="32"/>
          <w:lang w:eastAsia="en-US"/>
        </w:rPr>
      </w:pPr>
      <w:r>
        <w:rPr>
          <w:rFonts w:asciiTheme="minorHAnsi" w:eastAsiaTheme="minorHAnsi" w:hAnsiTheme="minorHAnsi"/>
          <w:b/>
          <w:sz w:val="32"/>
          <w:szCs w:val="32"/>
          <w:lang w:eastAsia="en-US"/>
        </w:rPr>
        <w:br/>
      </w:r>
      <w:r w:rsidRPr="00704BEA">
        <w:rPr>
          <w:rFonts w:asciiTheme="minorHAnsi" w:eastAsiaTheme="minorHAnsi" w:hAnsiTheme="minorHAnsi"/>
          <w:b/>
          <w:sz w:val="32"/>
          <w:szCs w:val="32"/>
          <w:lang w:eastAsia="en-US"/>
        </w:rPr>
        <w:t>Barriers to Just Transition</w:t>
      </w:r>
    </w:p>
    <w:p w14:paraId="3F311618" w14:textId="77777777" w:rsidR="00CA72E5" w:rsidRDefault="00CA72E5" w:rsidP="00CA72E5">
      <w:pPr>
        <w:pStyle w:val="Title"/>
        <w:spacing w:line="276" w:lineRule="auto"/>
        <w:rPr>
          <w:rFonts w:eastAsiaTheme="minorEastAsia"/>
          <w:b w:val="0"/>
          <w:color w:val="auto"/>
          <w:sz w:val="20"/>
          <w:szCs w:val="20"/>
        </w:rPr>
      </w:pPr>
      <w:r w:rsidRPr="002F35D2">
        <w:rPr>
          <w:rFonts w:eastAsiaTheme="minorEastAsia"/>
          <w:b w:val="0"/>
          <w:color w:val="auto"/>
          <w:sz w:val="20"/>
          <w:szCs w:val="20"/>
        </w:rPr>
        <w:t xml:space="preserve">The transition to net zero will need significant amounts of new capital, both public and private, to support adaption of existing businesses, and the establishment of new industries and supply chains in specified locations. In 2024, </w:t>
      </w:r>
      <w:proofErr w:type="spellStart"/>
      <w:r w:rsidRPr="002F35D2">
        <w:rPr>
          <w:rFonts w:eastAsiaTheme="minorEastAsia"/>
          <w:b w:val="0"/>
          <w:color w:val="auto"/>
          <w:sz w:val="20"/>
          <w:szCs w:val="20"/>
        </w:rPr>
        <w:t>BloombergNEF</w:t>
      </w:r>
      <w:proofErr w:type="spellEnd"/>
      <w:r w:rsidRPr="002F35D2">
        <w:rPr>
          <w:rFonts w:eastAsiaTheme="minorEastAsia"/>
          <w:b w:val="0"/>
          <w:color w:val="auto"/>
          <w:sz w:val="20"/>
          <w:szCs w:val="20"/>
        </w:rPr>
        <w:t xml:space="preserve"> estimated the need at approx. US$2.4 trillion for the energy sector alone.</w:t>
      </w:r>
      <w:r w:rsidRPr="002F35D2">
        <w:rPr>
          <w:rStyle w:val="FootnoteReference"/>
          <w:rFonts w:eastAsiaTheme="minorEastAsia"/>
          <w:b w:val="0"/>
          <w:color w:val="auto"/>
          <w:sz w:val="20"/>
          <w:szCs w:val="20"/>
        </w:rPr>
        <w:footnoteReference w:id="2"/>
      </w:r>
      <w:r w:rsidRPr="002F35D2">
        <w:rPr>
          <w:rFonts w:eastAsiaTheme="minorEastAsia"/>
          <w:b w:val="0"/>
          <w:color w:val="auto"/>
          <w:sz w:val="20"/>
          <w:szCs w:val="20"/>
        </w:rPr>
        <w:t xml:space="preserve"> </w:t>
      </w:r>
    </w:p>
    <w:p w14:paraId="592959A1" w14:textId="77777777" w:rsidR="00CA72E5" w:rsidRDefault="00CA72E5" w:rsidP="00CA72E5">
      <w:pPr>
        <w:pStyle w:val="Title"/>
        <w:spacing w:line="276" w:lineRule="auto"/>
        <w:rPr>
          <w:rFonts w:eastAsiaTheme="minorEastAsia"/>
          <w:b w:val="0"/>
          <w:color w:val="auto"/>
          <w:sz w:val="20"/>
          <w:szCs w:val="20"/>
        </w:rPr>
      </w:pPr>
    </w:p>
    <w:p w14:paraId="22605732" w14:textId="01B018A0" w:rsidR="00CA72E5" w:rsidRPr="002F35D2" w:rsidRDefault="00CA72E5" w:rsidP="00CA72E5">
      <w:pPr>
        <w:pStyle w:val="Title"/>
        <w:spacing w:line="276" w:lineRule="auto"/>
        <w:rPr>
          <w:rFonts w:eastAsiaTheme="minorEastAsia"/>
          <w:b w:val="0"/>
          <w:color w:val="auto"/>
          <w:sz w:val="20"/>
          <w:szCs w:val="20"/>
        </w:rPr>
      </w:pPr>
      <w:r w:rsidRPr="002F35D2">
        <w:rPr>
          <w:rFonts w:eastAsiaTheme="minorEastAsia"/>
          <w:b w:val="0"/>
          <w:color w:val="auto"/>
          <w:sz w:val="20"/>
          <w:szCs w:val="20"/>
        </w:rPr>
        <w:t>Current approaches are not fit for purpose</w:t>
      </w:r>
      <w:r>
        <w:rPr>
          <w:rFonts w:eastAsiaTheme="minorEastAsia"/>
          <w:b w:val="0"/>
          <w:color w:val="auto"/>
          <w:sz w:val="20"/>
          <w:szCs w:val="20"/>
        </w:rPr>
        <w:t xml:space="preserve"> in that </w:t>
      </w:r>
      <w:r w:rsidRPr="002F35D2">
        <w:rPr>
          <w:rFonts w:eastAsiaTheme="minorEastAsia"/>
          <w:b w:val="0"/>
          <w:color w:val="auto"/>
          <w:sz w:val="20"/>
          <w:szCs w:val="20"/>
        </w:rPr>
        <w:t>Government financing vehicles do not focus specifically on the transition or regions impacted by the transition. Stakeholders have also identified issues around policy and regulatory uncertainty and a lack of government incentives. Government has previously acknowledged many of the challenges with its financing vehicles</w:t>
      </w:r>
      <w:r w:rsidRPr="002F35D2">
        <w:rPr>
          <w:rStyle w:val="FootnoteReference"/>
          <w:rFonts w:eastAsiaTheme="minorEastAsia"/>
          <w:b w:val="0"/>
          <w:color w:val="auto"/>
          <w:sz w:val="20"/>
          <w:szCs w:val="20"/>
        </w:rPr>
        <w:footnoteReference w:id="3"/>
      </w:r>
      <w:r w:rsidRPr="002F35D2">
        <w:rPr>
          <w:rFonts w:eastAsiaTheme="minorEastAsia"/>
          <w:b w:val="0"/>
          <w:color w:val="auto"/>
          <w:sz w:val="20"/>
          <w:szCs w:val="20"/>
        </w:rPr>
        <w:t>, as well as the broader role it will need to play to address barriers and challenges, including market failures, to support timely investments in the transition.</w:t>
      </w:r>
      <w:r w:rsidRPr="002F35D2">
        <w:rPr>
          <w:rStyle w:val="FootnoteReference"/>
          <w:rFonts w:eastAsiaTheme="minorEastAsia"/>
          <w:b w:val="0"/>
          <w:color w:val="auto"/>
          <w:sz w:val="20"/>
          <w:szCs w:val="20"/>
        </w:rPr>
        <w:footnoteReference w:id="4"/>
      </w:r>
      <w:r w:rsidRPr="002F35D2">
        <w:rPr>
          <w:rFonts w:eastAsiaTheme="minorEastAsia"/>
          <w:b w:val="0"/>
          <w:color w:val="auto"/>
          <w:sz w:val="20"/>
          <w:szCs w:val="20"/>
        </w:rPr>
        <w:t xml:space="preserve"> Key barriers and challenges include:</w:t>
      </w:r>
    </w:p>
    <w:p w14:paraId="64FDED9B" w14:textId="3A0FF4C3" w:rsidR="00CA72E5" w:rsidRDefault="00CA72E5" w:rsidP="00CA72E5">
      <w:pPr>
        <w:pStyle w:val="ListBullet"/>
      </w:pPr>
      <w:r w:rsidRPr="1CD66F8C">
        <w:rPr>
          <w:b/>
          <w:bCs/>
        </w:rPr>
        <w:t xml:space="preserve">Building capacity for change </w:t>
      </w:r>
      <w:r>
        <w:t>– c</w:t>
      </w:r>
      <w:r w:rsidRPr="1CD66F8C">
        <w:t>urrent Government funding structures do not support the shift from a project-by-project approach to providing t</w:t>
      </w:r>
      <w:r>
        <w:t xml:space="preserve">he necessary signals </w:t>
      </w:r>
      <w:r w:rsidRPr="1CD66F8C">
        <w:t>for the systems change that is needed to build the capacity to trans</w:t>
      </w:r>
      <w:r w:rsidR="00DF7FEE">
        <w:t>ition</w:t>
      </w:r>
      <w:r>
        <w:t xml:space="preserve"> regional economies </w:t>
      </w:r>
      <w:r w:rsidR="00DF7FEE">
        <w:t>from</w:t>
      </w:r>
      <w:r w:rsidRPr="1CD66F8C">
        <w:t xml:space="preserve"> carbon intensive to net zero. </w:t>
      </w:r>
    </w:p>
    <w:p w14:paraId="7C914858" w14:textId="77777777" w:rsidR="00CA72E5" w:rsidRDefault="00CA72E5" w:rsidP="00CA72E5">
      <w:pPr>
        <w:pStyle w:val="ListBullet"/>
      </w:pPr>
      <w:r w:rsidRPr="3A9A559E">
        <w:rPr>
          <w:b/>
          <w:bCs/>
        </w:rPr>
        <w:t>Certainty</w:t>
      </w:r>
      <w:r w:rsidRPr="00FB1B81">
        <w:rPr>
          <w:b/>
        </w:rPr>
        <w:t xml:space="preserve"> and clarity </w:t>
      </w:r>
      <w:r>
        <w:t xml:space="preserve">– firms desire certainty around the scale and timing of future projects (and ideally that their products will be used for those projects), and long-term policy settings to provide confidence for necessary capital investments. </w:t>
      </w:r>
    </w:p>
    <w:p w14:paraId="6C914D87" w14:textId="77777777" w:rsidR="00CA72E5" w:rsidRPr="00940658" w:rsidRDefault="00CA72E5" w:rsidP="00CA72E5">
      <w:pPr>
        <w:pStyle w:val="ListBullet"/>
      </w:pPr>
      <w:r w:rsidRPr="3A9A559E">
        <w:rPr>
          <w:b/>
          <w:bCs/>
        </w:rPr>
        <w:t>Regulatory settings</w:t>
      </w:r>
      <w:r>
        <w:t xml:space="preserve"> – some aspects of the current regulatory settings are inconsistent and duplicative of other processes conducted by other levels of government. </w:t>
      </w:r>
    </w:p>
    <w:p w14:paraId="0B2F17F4" w14:textId="77777777" w:rsidR="006853B7" w:rsidRPr="006853B7" w:rsidRDefault="006853B7" w:rsidP="0064682E">
      <w:pPr>
        <w:pStyle w:val="ListBullet"/>
        <w:numPr>
          <w:ilvl w:val="0"/>
          <w:numId w:val="0"/>
        </w:numPr>
        <w:ind w:left="360"/>
      </w:pPr>
    </w:p>
    <w:p w14:paraId="1D583419" w14:textId="0409E8A8" w:rsidR="00CA72E5" w:rsidRPr="00940658" w:rsidRDefault="00CA72E5" w:rsidP="00CA72E5">
      <w:pPr>
        <w:pStyle w:val="ListBullet"/>
      </w:pPr>
      <w:r w:rsidRPr="6B2A6F79">
        <w:rPr>
          <w:b/>
          <w:bCs/>
        </w:rPr>
        <w:lastRenderedPageBreak/>
        <w:t>Shortage of skilled labour</w:t>
      </w:r>
      <w:r>
        <w:t xml:space="preserve"> – the transition requires a pool of skilled labour for designing, fabricating, installing, maintaining or recycling renewable energy assets and their supporting infrastructure. Simultaneously, the transition demands skilled labour to decarbonise and retool existing facilities or maintain facilities until they are closed.</w:t>
      </w:r>
    </w:p>
    <w:p w14:paraId="5BD366E4" w14:textId="77777777" w:rsidR="00CA72E5" w:rsidRDefault="00CA72E5" w:rsidP="00CA72E5">
      <w:pPr>
        <w:pStyle w:val="ListBullet"/>
      </w:pPr>
      <w:r w:rsidRPr="1CA02FC6">
        <w:rPr>
          <w:b/>
          <w:bCs/>
        </w:rPr>
        <w:t>Enabling infrastructure</w:t>
      </w:r>
      <w:r>
        <w:t xml:space="preserve"> – location, transportation and connections are key considerations in determining the speed and cost effectiveness of the roll out of the energy transition. The design of energy infrastructure networks and their intersection with transport infrastructure will also be a key determinant of Australia’s ability to compete in the future global net zero economy.</w:t>
      </w:r>
    </w:p>
    <w:p w14:paraId="581F216D" w14:textId="73747289" w:rsidR="00CA72E5" w:rsidRPr="00572CEE" w:rsidRDefault="00CA72E5" w:rsidP="00CA72E5">
      <w:pPr>
        <w:spacing w:before="0" w:after="0"/>
        <w:rPr>
          <w:b/>
          <w:color w:val="auto"/>
          <w:sz w:val="12"/>
          <w:szCs w:val="32"/>
        </w:rPr>
      </w:pPr>
      <w:r>
        <w:rPr>
          <w:color w:val="auto"/>
        </w:rPr>
        <w:t>The Authority</w:t>
      </w:r>
      <w:r w:rsidR="004638A1">
        <w:rPr>
          <w:color w:val="auto"/>
        </w:rPr>
        <w:t xml:space="preserve"> has chosen to limit comments to</w:t>
      </w:r>
      <w:r>
        <w:rPr>
          <w:color w:val="auto"/>
        </w:rPr>
        <w:t xml:space="preserve"> the first three issues </w:t>
      </w:r>
      <w:r w:rsidRPr="00572CEE">
        <w:rPr>
          <w:color w:val="auto"/>
        </w:rPr>
        <w:t>to highlight how a rethink of government processes will be required to realise the transition to a net zero.</w:t>
      </w:r>
    </w:p>
    <w:p w14:paraId="3D524251" w14:textId="77777777" w:rsidR="00CA72E5" w:rsidRPr="00572CEE" w:rsidRDefault="00CA72E5" w:rsidP="00CA72E5">
      <w:pPr>
        <w:rPr>
          <w:color w:val="FF0000"/>
        </w:rPr>
      </w:pPr>
      <w:r>
        <w:rPr>
          <w:b/>
          <w:color w:val="auto"/>
          <w:sz w:val="32"/>
          <w:szCs w:val="32"/>
        </w:rPr>
        <w:br/>
      </w:r>
      <w:r w:rsidRPr="00572CEE">
        <w:rPr>
          <w:b/>
          <w:color w:val="auto"/>
          <w:sz w:val="32"/>
          <w:szCs w:val="32"/>
        </w:rPr>
        <w:t>Driving Investment</w:t>
      </w:r>
    </w:p>
    <w:p w14:paraId="17C6F099" w14:textId="77777777" w:rsidR="00CA72E5" w:rsidRPr="00117949" w:rsidRDefault="00CA72E5" w:rsidP="00CA72E5">
      <w:pPr>
        <w:pStyle w:val="paragraph"/>
        <w:spacing w:before="120" w:beforeAutospacing="0" w:after="120" w:afterAutospacing="0" w:line="260" w:lineRule="atLeast"/>
        <w:textAlignment w:val="baseline"/>
        <w:rPr>
          <w:rFonts w:asciiTheme="minorHAnsi" w:hAnsiTheme="minorHAnsi" w:cstheme="minorBidi"/>
          <w:b/>
          <w:bCs/>
          <w:lang w:eastAsia="en-US"/>
        </w:rPr>
      </w:pPr>
      <w:r w:rsidRPr="0D6A262F">
        <w:rPr>
          <w:rFonts w:asciiTheme="minorHAnsi" w:hAnsiTheme="minorHAnsi" w:cstheme="minorBidi"/>
          <w:b/>
          <w:bCs/>
        </w:rPr>
        <w:t xml:space="preserve">Optimising financing </w:t>
      </w:r>
    </w:p>
    <w:p w14:paraId="4608E8E3" w14:textId="1D6793E4" w:rsidR="00CA72E5" w:rsidRDefault="00CA72E5" w:rsidP="00CA72E5">
      <w:pPr>
        <w:rPr>
          <w:color w:val="auto"/>
        </w:rPr>
      </w:pPr>
      <w:r>
        <w:t xml:space="preserve">The Commonwealth operates eight </w:t>
      </w:r>
      <w:r w:rsidRPr="002F35D2">
        <w:rPr>
          <w:color w:val="auto"/>
        </w:rPr>
        <w:t>Specialist Investment Vehicles</w:t>
      </w:r>
      <w:r>
        <w:rPr>
          <w:color w:val="auto"/>
        </w:rPr>
        <w:t xml:space="preserve"> (SIVs)</w:t>
      </w:r>
      <w:r w:rsidRPr="002F35D2">
        <w:rPr>
          <w:color w:val="auto"/>
        </w:rPr>
        <w:t xml:space="preserve"> (refer </w:t>
      </w:r>
      <w:r w:rsidRPr="00C97FE3">
        <w:rPr>
          <w:color w:val="auto"/>
          <w:u w:val="single"/>
        </w:rPr>
        <w:t>Attachment A</w:t>
      </w:r>
      <w:r w:rsidRPr="002F35D2">
        <w:rPr>
          <w:color w:val="auto"/>
        </w:rPr>
        <w:t>)</w:t>
      </w:r>
      <w:r w:rsidR="00DF7FEE">
        <w:rPr>
          <w:color w:val="auto"/>
        </w:rPr>
        <w:t>,</w:t>
      </w:r>
      <w:r w:rsidRPr="002F35D2">
        <w:rPr>
          <w:color w:val="auto"/>
        </w:rPr>
        <w:t xml:space="preserve"> all of which</w:t>
      </w:r>
      <w:r w:rsidR="00DF7FEE">
        <w:rPr>
          <w:color w:val="auto"/>
        </w:rPr>
        <w:t xml:space="preserve"> were established prior to the G</w:t>
      </w:r>
      <w:r w:rsidRPr="002F35D2">
        <w:rPr>
          <w:color w:val="auto"/>
        </w:rPr>
        <w:t>overnment’s Future Made in Australia</w:t>
      </w:r>
      <w:r>
        <w:rPr>
          <w:color w:val="auto"/>
        </w:rPr>
        <w:t xml:space="preserve"> policy</w:t>
      </w:r>
      <w:r w:rsidRPr="002F35D2">
        <w:rPr>
          <w:color w:val="auto"/>
        </w:rPr>
        <w:t>.</w:t>
      </w:r>
      <w:r>
        <w:rPr>
          <w:rStyle w:val="FootnoteReference"/>
          <w:color w:val="auto"/>
        </w:rPr>
        <w:footnoteReference w:id="5"/>
      </w:r>
      <w:r w:rsidRPr="002F35D2">
        <w:rPr>
          <w:color w:val="auto"/>
        </w:rPr>
        <w:t xml:space="preserve"> All take direction from </w:t>
      </w:r>
      <w:r w:rsidR="00DF7FEE">
        <w:rPr>
          <w:color w:val="auto"/>
        </w:rPr>
        <w:t xml:space="preserve">the </w:t>
      </w:r>
      <w:r w:rsidRPr="002F35D2">
        <w:rPr>
          <w:color w:val="auto"/>
        </w:rPr>
        <w:t xml:space="preserve">Government through a legislative instrument that outlines their investment mandate or a Statement of Expectations issued by Government. </w:t>
      </w:r>
    </w:p>
    <w:p w14:paraId="5EDB14FE" w14:textId="6D12CE12" w:rsidR="00CA72E5" w:rsidRPr="002F35D2" w:rsidRDefault="00CA72E5" w:rsidP="00CA72E5">
      <w:pPr>
        <w:rPr>
          <w:color w:val="auto"/>
        </w:rPr>
      </w:pPr>
      <w:r w:rsidRPr="002F35D2">
        <w:rPr>
          <w:color w:val="auto"/>
        </w:rPr>
        <w:t xml:space="preserve">Five </w:t>
      </w:r>
      <w:r>
        <w:rPr>
          <w:color w:val="auto"/>
        </w:rPr>
        <w:t xml:space="preserve">SIVs </w:t>
      </w:r>
      <w:r w:rsidRPr="002F35D2">
        <w:rPr>
          <w:color w:val="auto"/>
        </w:rPr>
        <w:t xml:space="preserve">are particularly active in the net zero space with significant overlap between their mandates (refer </w:t>
      </w:r>
      <w:r w:rsidRPr="002F35D2">
        <w:rPr>
          <w:color w:val="auto"/>
          <w:u w:val="single"/>
        </w:rPr>
        <w:t>Attachment B</w:t>
      </w:r>
      <w:r w:rsidRPr="002F35D2">
        <w:rPr>
          <w:color w:val="auto"/>
        </w:rPr>
        <w:t>)</w:t>
      </w:r>
      <w:r>
        <w:rPr>
          <w:color w:val="auto"/>
        </w:rPr>
        <w:t>.</w:t>
      </w:r>
      <w:r w:rsidRPr="002F35D2">
        <w:rPr>
          <w:color w:val="auto"/>
        </w:rPr>
        <w:t xml:space="preserve"> There is a lot of similarity between the current risk settings and rates of return.</w:t>
      </w:r>
      <w:r w:rsidRPr="002F35D2">
        <w:rPr>
          <w:rStyle w:val="FootnoteReference"/>
          <w:color w:val="auto"/>
        </w:rPr>
        <w:footnoteReference w:id="6"/>
      </w:r>
      <w:r w:rsidRPr="002F35D2">
        <w:rPr>
          <w:color w:val="auto"/>
        </w:rPr>
        <w:t xml:space="preserve"> Consequently certain project proposals are attractive to most SIVs, and other projects, such as very small, very large or higher-risk projects, </w:t>
      </w:r>
      <w:r w:rsidR="00DF7FEE">
        <w:rPr>
          <w:color w:val="auto"/>
        </w:rPr>
        <w:t xml:space="preserve">are </w:t>
      </w:r>
      <w:r w:rsidRPr="002F35D2">
        <w:rPr>
          <w:color w:val="auto"/>
        </w:rPr>
        <w:t>attractive to none.</w:t>
      </w:r>
    </w:p>
    <w:p w14:paraId="15C14DE3" w14:textId="4EBDA6C5" w:rsidR="00CA72E5" w:rsidRPr="002F35D2" w:rsidRDefault="00CA72E5" w:rsidP="00CA72E5">
      <w:pPr>
        <w:rPr>
          <w:color w:val="auto"/>
        </w:rPr>
      </w:pPr>
      <w:r w:rsidRPr="002F35D2">
        <w:rPr>
          <w:color w:val="auto"/>
        </w:rPr>
        <w:t>A number of project proponen</w:t>
      </w:r>
      <w:r w:rsidR="00DF7FEE">
        <w:rPr>
          <w:color w:val="auto"/>
        </w:rPr>
        <w:t>ts that have approached the Authority</w:t>
      </w:r>
      <w:r w:rsidRPr="002F35D2">
        <w:rPr>
          <w:color w:val="auto"/>
        </w:rPr>
        <w:t xml:space="preserve"> for investment facilitation support have done so after being rejected by different SIVs because their projects are not at a sufficient stage of maturity.</w:t>
      </w:r>
    </w:p>
    <w:p w14:paraId="33D5A960" w14:textId="30131737" w:rsidR="00CA72E5" w:rsidRDefault="00CA72E5" w:rsidP="00CA72E5">
      <w:pPr>
        <w:rPr>
          <w:rFonts w:ascii="Arial" w:eastAsia="Arial" w:hAnsi="Arial" w:cs="Arial"/>
        </w:rPr>
      </w:pPr>
      <w:r w:rsidRPr="008C6CF7">
        <w:rPr>
          <w:color w:val="auto"/>
        </w:rPr>
        <w:t xml:space="preserve">For example, First Nations projects continue to be constrained </w:t>
      </w:r>
      <w:r w:rsidR="004638A1">
        <w:rPr>
          <w:color w:val="auto"/>
        </w:rPr>
        <w:t xml:space="preserve">in </w:t>
      </w:r>
      <w:r w:rsidRPr="008C6CF7">
        <w:rPr>
          <w:color w:val="auto"/>
        </w:rPr>
        <w:t>accessing financing</w:t>
      </w:r>
      <w:r>
        <w:rPr>
          <w:color w:val="auto"/>
        </w:rPr>
        <w:t>.</w:t>
      </w:r>
      <w:r>
        <w:rPr>
          <w:rStyle w:val="FootnoteReference"/>
        </w:rPr>
        <w:footnoteReference w:id="7"/>
      </w:r>
      <w:r>
        <w:rPr>
          <w:color w:val="auto"/>
        </w:rPr>
        <w:t xml:space="preserve"> As </w:t>
      </w:r>
      <w:r w:rsidRPr="008C6CF7">
        <w:rPr>
          <w:color w:val="auto"/>
        </w:rPr>
        <w:t xml:space="preserve">recognised in the First Nations Clean </w:t>
      </w:r>
      <w:r>
        <w:rPr>
          <w:color w:val="auto"/>
        </w:rPr>
        <w:t>Energy Strategy</w:t>
      </w:r>
      <w:r w:rsidRPr="1BC79B45">
        <w:rPr>
          <w:rStyle w:val="FootnoteReference"/>
          <w:color w:val="auto"/>
        </w:rPr>
        <w:footnoteReference w:id="8"/>
      </w:r>
      <w:r w:rsidRPr="008C6CF7">
        <w:rPr>
          <w:color w:val="auto"/>
        </w:rPr>
        <w:t>, th</w:t>
      </w:r>
      <w:r w:rsidRPr="679AA736">
        <w:rPr>
          <w:rFonts w:ascii="Arial" w:eastAsia="Arial" w:hAnsi="Arial" w:cs="Arial"/>
        </w:rPr>
        <w:t>e Government should ensure</w:t>
      </w:r>
      <w:r w:rsidRPr="3876C78A">
        <w:rPr>
          <w:rFonts w:ascii="Arial" w:eastAsia="Arial" w:hAnsi="Arial" w:cs="Arial"/>
        </w:rPr>
        <w:t xml:space="preserve"> SIVs can</w:t>
      </w:r>
      <w:r w:rsidRPr="414D2C98">
        <w:rPr>
          <w:rFonts w:ascii="Arial" w:eastAsia="Arial" w:hAnsi="Arial" w:cs="Arial"/>
        </w:rPr>
        <w:t xml:space="preserve"> incentivise</w:t>
      </w:r>
      <w:r w:rsidRPr="3876C78A">
        <w:rPr>
          <w:rFonts w:ascii="Arial" w:eastAsia="Arial" w:hAnsi="Arial" w:cs="Arial"/>
        </w:rPr>
        <w:t xml:space="preserve"> investment into clean energy projects that are First Nations-led or that prioritise mutually beneficial partnerships with First Nations people.</w:t>
      </w:r>
      <w:r>
        <w:rPr>
          <w:rFonts w:ascii="Arial" w:eastAsia="Arial" w:hAnsi="Arial" w:cs="Arial"/>
        </w:rPr>
        <w:t xml:space="preserve"> </w:t>
      </w:r>
    </w:p>
    <w:p w14:paraId="26CF8C49" w14:textId="77777777" w:rsidR="00CA72E5" w:rsidRPr="00884C96" w:rsidRDefault="00CA72E5" w:rsidP="00CA72E5">
      <w:pPr>
        <w:rPr>
          <w:color w:val="auto"/>
        </w:rPr>
      </w:pPr>
      <w:r w:rsidRPr="00884C96">
        <w:rPr>
          <w:rFonts w:ascii="Arial" w:eastAsia="Arial" w:hAnsi="Arial" w:cs="Arial"/>
          <w:color w:val="auto"/>
        </w:rPr>
        <w:t xml:space="preserve">While different SIVs are making commitments to engage with First Nations communities or to make funding available for projects, for example ARENA’s $75 million for a Regional </w:t>
      </w:r>
      <w:proofErr w:type="spellStart"/>
      <w:r w:rsidRPr="00884C96">
        <w:rPr>
          <w:rFonts w:ascii="Arial" w:eastAsia="Arial" w:hAnsi="Arial" w:cs="Arial"/>
          <w:color w:val="auto"/>
        </w:rPr>
        <w:t>Microgrid</w:t>
      </w:r>
      <w:proofErr w:type="spellEnd"/>
      <w:r w:rsidRPr="00884C96">
        <w:rPr>
          <w:rFonts w:ascii="Arial" w:eastAsia="Arial" w:hAnsi="Arial" w:cs="Arial"/>
          <w:color w:val="auto"/>
        </w:rPr>
        <w:t xml:space="preserve"> Program, there is no readily available data to test how this is leading to outcomes for First Nations communities</w:t>
      </w:r>
      <w:r w:rsidRPr="00884C96">
        <w:rPr>
          <w:color w:val="auto"/>
        </w:rPr>
        <w:t>.</w:t>
      </w:r>
      <w:r w:rsidRPr="00884C96">
        <w:rPr>
          <w:rStyle w:val="FootnoteReference"/>
          <w:rFonts w:ascii="Arial" w:eastAsia="Arial" w:hAnsi="Arial" w:cs="Arial"/>
          <w:color w:val="auto"/>
        </w:rPr>
        <w:footnoteReference w:id="9"/>
      </w:r>
      <w:r w:rsidRPr="00884C96">
        <w:rPr>
          <w:color w:val="auto"/>
        </w:rPr>
        <w:t xml:space="preserve"> </w:t>
      </w:r>
    </w:p>
    <w:p w14:paraId="411FE385" w14:textId="4241501A" w:rsidR="00D140E4" w:rsidRDefault="00D140E4" w:rsidP="00CA72E5">
      <w:pPr>
        <w:rPr>
          <w:rFonts w:ascii="Arial" w:eastAsia="Arial" w:hAnsi="Arial" w:cs="Arial"/>
          <w:color w:val="auto"/>
        </w:rPr>
      </w:pPr>
    </w:p>
    <w:p w14:paraId="0345A025" w14:textId="47130E7E" w:rsidR="00CA72E5" w:rsidRPr="00C97FE3" w:rsidRDefault="00CA72E5" w:rsidP="00CA72E5">
      <w:pPr>
        <w:rPr>
          <w:rFonts w:ascii="Arial" w:eastAsia="Arial" w:hAnsi="Arial" w:cs="Arial"/>
          <w:color w:val="auto"/>
        </w:rPr>
      </w:pPr>
      <w:r w:rsidRPr="00884C96">
        <w:rPr>
          <w:rFonts w:ascii="Arial" w:eastAsia="Arial" w:hAnsi="Arial" w:cs="Arial"/>
          <w:color w:val="auto"/>
        </w:rPr>
        <w:lastRenderedPageBreak/>
        <w:t xml:space="preserve">The CEFC notes that CEFC investment proposals are screened for impact through the CEFC First Nations Screening Approach. While this is encouraging, it is unclear </w:t>
      </w:r>
      <w:r w:rsidR="00DF7FEE">
        <w:rPr>
          <w:rFonts w:ascii="Arial" w:eastAsia="Arial" w:hAnsi="Arial" w:cs="Arial"/>
          <w:color w:val="auto"/>
        </w:rPr>
        <w:t xml:space="preserve">whether </w:t>
      </w:r>
      <w:r w:rsidRPr="00884C96">
        <w:rPr>
          <w:rFonts w:ascii="Arial" w:eastAsia="Arial" w:hAnsi="Arial" w:cs="Arial"/>
          <w:color w:val="auto"/>
        </w:rPr>
        <w:t>this results in financing flowing to First Nations projects. According to its 2023-24 Annual Report, the CEFC identified 2 First Nations opportunities both relating to th</w:t>
      </w:r>
      <w:r w:rsidR="004638A1">
        <w:rPr>
          <w:rFonts w:ascii="Arial" w:eastAsia="Arial" w:hAnsi="Arial" w:cs="Arial"/>
          <w:color w:val="auto"/>
        </w:rPr>
        <w:t>e same investment involving a $</w:t>
      </w:r>
      <w:r w:rsidRPr="00884C96">
        <w:rPr>
          <w:rFonts w:ascii="Arial" w:eastAsia="Arial" w:hAnsi="Arial" w:cs="Arial"/>
          <w:color w:val="auto"/>
        </w:rPr>
        <w:t>1 million commitment from the project developer to facilitate benefit sharing and the transferred ownership of 1,000 hectares to pave the way for a new national park.</w:t>
      </w:r>
      <w:r w:rsidRPr="00884C96">
        <w:rPr>
          <w:rStyle w:val="FootnoteReference"/>
          <w:rFonts w:ascii="Arial" w:eastAsia="Arial" w:hAnsi="Arial" w:cs="Arial"/>
          <w:color w:val="auto"/>
        </w:rPr>
        <w:footnoteReference w:id="10"/>
      </w:r>
    </w:p>
    <w:p w14:paraId="211D53D4" w14:textId="67CD6178" w:rsidR="00CA72E5" w:rsidRPr="005B3394" w:rsidRDefault="00CA72E5" w:rsidP="00CA72E5">
      <w:pPr>
        <w:rPr>
          <w:color w:val="FF0000"/>
        </w:rPr>
      </w:pPr>
      <w:r w:rsidRPr="00884C96">
        <w:rPr>
          <w:color w:val="auto"/>
        </w:rPr>
        <w:t>Current and prospective onshore renewable energy infrastructure manufacturers h</w:t>
      </w:r>
      <w:r>
        <w:rPr>
          <w:color w:val="auto"/>
        </w:rPr>
        <w:t>ave reported experiencing challenges</w:t>
      </w:r>
      <w:r w:rsidRPr="00884C96">
        <w:rPr>
          <w:color w:val="auto"/>
        </w:rPr>
        <w:t xml:space="preserve"> accessing support from government financing vehicles due to the focus of available grant funding programs on innovation. This has impacted the domestic manufacture of some existing technologies at scale</w:t>
      </w:r>
      <w:r w:rsidRPr="00884C96">
        <w:rPr>
          <w:rStyle w:val="FootnoteReference"/>
          <w:color w:val="auto"/>
        </w:rPr>
        <w:footnoteReference w:id="11"/>
      </w:r>
      <w:r w:rsidR="00DF7FEE">
        <w:rPr>
          <w:color w:val="auto"/>
        </w:rPr>
        <w:t xml:space="preserve"> and its</w:t>
      </w:r>
      <w:r w:rsidRPr="00884C96">
        <w:rPr>
          <w:color w:val="auto"/>
        </w:rPr>
        <w:t xml:space="preserve"> incorporation into Australia’s increasing pipeline of renewable energy projects</w:t>
      </w:r>
      <w:r>
        <w:rPr>
          <w:color w:val="auto"/>
        </w:rPr>
        <w:t xml:space="preserve">. </w:t>
      </w:r>
      <w:r w:rsidRPr="4282B20E">
        <w:rPr>
          <w:color w:val="auto"/>
        </w:rPr>
        <w:t>Thes</w:t>
      </w:r>
      <w:r>
        <w:rPr>
          <w:color w:val="auto"/>
        </w:rPr>
        <w:t>e outcomes have occurred</w:t>
      </w:r>
      <w:r w:rsidRPr="4282B20E">
        <w:rPr>
          <w:color w:val="auto"/>
        </w:rPr>
        <w:t xml:space="preserve"> even where clear strategic direction in support of sectors or economic outcomes are included in statements of expectation issued by Government</w:t>
      </w:r>
      <w:r>
        <w:rPr>
          <w:color w:val="auto"/>
        </w:rPr>
        <w:t xml:space="preserve"> to its SIVs</w:t>
      </w:r>
      <w:r w:rsidRPr="4282B20E">
        <w:rPr>
          <w:color w:val="auto"/>
        </w:rPr>
        <w:t xml:space="preserve">. </w:t>
      </w:r>
    </w:p>
    <w:p w14:paraId="7D25C22F" w14:textId="5F1923B1" w:rsidR="00CA72E5" w:rsidRPr="00884C96" w:rsidRDefault="00CA72E5" w:rsidP="00CA72E5">
      <w:pPr>
        <w:rPr>
          <w:color w:val="auto"/>
        </w:rPr>
      </w:pPr>
      <w:r>
        <w:t xml:space="preserve">SIVs take a project-by-project approach and most take a passive approach to matching up the Government’s agenda with project proposals. Most invite project proposals and apply their thematic and financial criteria rather than actively finding proposals that contribute to the delivery of the Government’s </w:t>
      </w:r>
      <w:r w:rsidRPr="00884C96">
        <w:rPr>
          <w:color w:val="auto"/>
        </w:rPr>
        <w:t>agenda. SIVs should be proactive in their approach and demonstrate that they have actively explored or sought to facilitate projects that support the transition to net zero in emission</w:t>
      </w:r>
      <w:r w:rsidR="00DF7FEE">
        <w:rPr>
          <w:color w:val="auto"/>
        </w:rPr>
        <w:t>s</w:t>
      </w:r>
      <w:r w:rsidRPr="00884C96">
        <w:rPr>
          <w:color w:val="auto"/>
        </w:rPr>
        <w:t xml:space="preserve">-intensive regions.  </w:t>
      </w:r>
    </w:p>
    <w:p w14:paraId="2C977192" w14:textId="6D7C192D" w:rsidR="00CA72E5" w:rsidRDefault="00CA72E5" w:rsidP="00CA72E5">
      <w:pPr>
        <w:rPr>
          <w:color w:val="auto"/>
        </w:rPr>
      </w:pPr>
      <w:r>
        <w:t xml:space="preserve">The Authority expects that the proposed Front Door will </w:t>
      </w:r>
      <w:r w:rsidRPr="00695A19">
        <w:rPr>
          <w:color w:val="auto"/>
        </w:rPr>
        <w:t>play a</w:t>
      </w:r>
      <w:r w:rsidR="00CE4E94" w:rsidRPr="00695A19">
        <w:rPr>
          <w:color w:val="auto"/>
        </w:rPr>
        <w:t>n important</w:t>
      </w:r>
      <w:r w:rsidRPr="00695A19">
        <w:rPr>
          <w:color w:val="auto"/>
        </w:rPr>
        <w:t xml:space="preserve"> role in facilitating practical collaboration between SIVs and encourage efforts to combine or sequence support options to get projects of significance over the line. The Front Door should also monitor the success the SIVs have had in progressing the Government’s nominated priorities</w:t>
      </w:r>
      <w:r w:rsidR="00C60286" w:rsidRPr="00695A19">
        <w:rPr>
          <w:color w:val="auto"/>
        </w:rPr>
        <w:t xml:space="preserve"> on quarterly basis</w:t>
      </w:r>
      <w:r w:rsidRPr="00695A19">
        <w:rPr>
          <w:color w:val="auto"/>
        </w:rPr>
        <w:t xml:space="preserve">, including investment in transitioning regions. Expanding on the existing Government efforts, and incorporating insights from the Front Door, will enhance the robustness of </w:t>
      </w:r>
      <w:r w:rsidR="00C60286" w:rsidRPr="00695A19">
        <w:rPr>
          <w:color w:val="auto"/>
        </w:rPr>
        <w:t xml:space="preserve">ongoing </w:t>
      </w:r>
      <w:r w:rsidRPr="00695A19">
        <w:rPr>
          <w:color w:val="auto"/>
        </w:rPr>
        <w:t>advice to Government on the operation of the SIVs.</w:t>
      </w:r>
    </w:p>
    <w:p w14:paraId="56099D75" w14:textId="6711379E" w:rsidR="00D04D3F" w:rsidRPr="00884C96" w:rsidRDefault="00D04D3F" w:rsidP="00CA72E5">
      <w:pPr>
        <w:rPr>
          <w:color w:val="auto"/>
        </w:rPr>
      </w:pPr>
      <w:r>
        <w:rPr>
          <w:color w:val="auto"/>
        </w:rPr>
        <w:t xml:space="preserve">Finally, the SIVs all apply different and often limited social license criteria to projects. This creates unnecessary inconsistency and complexity. </w:t>
      </w:r>
    </w:p>
    <w:p w14:paraId="48ECC87A" w14:textId="77777777" w:rsidR="00CA72E5" w:rsidRPr="00F81B07" w:rsidRDefault="00CA72E5" w:rsidP="00CA72E5">
      <w:pPr>
        <w:rPr>
          <w:b/>
          <w:bCs/>
        </w:rPr>
      </w:pPr>
      <w:r w:rsidRPr="4282B20E">
        <w:rPr>
          <w:b/>
          <w:bCs/>
        </w:rPr>
        <w:t xml:space="preserve">Actions: </w:t>
      </w:r>
    </w:p>
    <w:p w14:paraId="3ED3D360" w14:textId="77777777" w:rsidR="00CA72E5" w:rsidRPr="00884C96" w:rsidRDefault="00CA72E5" w:rsidP="00CA72E5">
      <w:pPr>
        <w:pStyle w:val="ListParagraph"/>
        <w:numPr>
          <w:ilvl w:val="0"/>
          <w:numId w:val="21"/>
        </w:numPr>
        <w:rPr>
          <w:color w:val="auto"/>
        </w:rPr>
      </w:pPr>
      <w:r w:rsidRPr="00884C96">
        <w:rPr>
          <w:color w:val="auto"/>
        </w:rPr>
        <w:t>Government should revise the mandates of Australian Renewable Energy Agency (ARENA), the Clean Energy Finance Corporation, Northern Australia Infrastructure Facility, and the National Reconstruction Fund Corporation, including to:</w:t>
      </w:r>
      <w:r w:rsidRPr="00884C96">
        <w:rPr>
          <w:color w:val="auto"/>
        </w:rPr>
        <w:br/>
      </w:r>
    </w:p>
    <w:p w14:paraId="5F60E8A8" w14:textId="77777777" w:rsidR="00CA72E5" w:rsidRPr="00884C96" w:rsidRDefault="00CA72E5" w:rsidP="00CA72E5">
      <w:pPr>
        <w:pStyle w:val="ListParagraph"/>
        <w:numPr>
          <w:ilvl w:val="1"/>
          <w:numId w:val="21"/>
        </w:numPr>
        <w:rPr>
          <w:color w:val="auto"/>
        </w:rPr>
      </w:pPr>
      <w:r w:rsidRPr="00884C96">
        <w:rPr>
          <w:color w:val="auto"/>
        </w:rPr>
        <w:t>direct them to work pro-actively to maximise their investments to support the transition to net zero and require reporting on proposals received and investments made in transitioning regions;</w:t>
      </w:r>
    </w:p>
    <w:p w14:paraId="23CA6C9E" w14:textId="77777777" w:rsidR="00CA72E5" w:rsidRPr="00884C96" w:rsidRDefault="00CA72E5" w:rsidP="00CA72E5">
      <w:pPr>
        <w:pStyle w:val="ListParagraph"/>
        <w:numPr>
          <w:ilvl w:val="1"/>
          <w:numId w:val="21"/>
        </w:numPr>
        <w:rPr>
          <w:color w:val="auto"/>
        </w:rPr>
      </w:pPr>
      <w:r w:rsidRPr="00884C96">
        <w:rPr>
          <w:color w:val="auto"/>
        </w:rPr>
        <w:t>direct a portion of funding to priority areas, giving additional weighting in assessment for projects from those areas and lowering the rate of return for projects in those areas;</w:t>
      </w:r>
    </w:p>
    <w:p w14:paraId="27B5BF58" w14:textId="77777777" w:rsidR="00CA72E5" w:rsidRPr="00884C96" w:rsidRDefault="00CA72E5" w:rsidP="00CA72E5">
      <w:pPr>
        <w:pStyle w:val="ListParagraph"/>
        <w:numPr>
          <w:ilvl w:val="1"/>
          <w:numId w:val="21"/>
        </w:numPr>
        <w:rPr>
          <w:color w:val="auto"/>
        </w:rPr>
      </w:pPr>
      <w:r w:rsidRPr="00884C96">
        <w:rPr>
          <w:color w:val="auto"/>
        </w:rPr>
        <w:t>embed differentiation between SIVs to ensure that collectively they can consider proposals that respond to Government priorities and deploy suitable financing options across the innovation and funding life-cycle that drive private investment;</w:t>
      </w:r>
    </w:p>
    <w:p w14:paraId="027A5390" w14:textId="77777777" w:rsidR="00CA72E5" w:rsidRPr="00884C96" w:rsidRDefault="00CA72E5" w:rsidP="00CA72E5">
      <w:pPr>
        <w:pStyle w:val="ListParagraph"/>
        <w:numPr>
          <w:ilvl w:val="1"/>
          <w:numId w:val="21"/>
        </w:numPr>
        <w:rPr>
          <w:color w:val="auto"/>
        </w:rPr>
      </w:pPr>
      <w:r w:rsidRPr="00884C96">
        <w:rPr>
          <w:color w:val="auto"/>
        </w:rPr>
        <w:t>adjust their risk profile, required rate of return and the minimum and maximum transaction sizes to ensure the SIVs are positioned to engage</w:t>
      </w:r>
      <w:r>
        <w:rPr>
          <w:color w:val="auto"/>
        </w:rPr>
        <w:t xml:space="preserve"> </w:t>
      </w:r>
      <w:r w:rsidRPr="00884C96">
        <w:rPr>
          <w:color w:val="auto"/>
        </w:rPr>
        <w:t>and effectively respond to the Government’s intended purpose for each;</w:t>
      </w:r>
    </w:p>
    <w:p w14:paraId="29E45E75" w14:textId="7923A7C4" w:rsidR="00CA72E5" w:rsidRDefault="00CA72E5" w:rsidP="00CA72E5">
      <w:pPr>
        <w:pStyle w:val="ListParagraph"/>
        <w:numPr>
          <w:ilvl w:val="1"/>
          <w:numId w:val="21"/>
        </w:numPr>
        <w:rPr>
          <w:color w:val="auto"/>
        </w:rPr>
      </w:pPr>
      <w:r w:rsidRPr="00884C96">
        <w:rPr>
          <w:color w:val="auto"/>
        </w:rPr>
        <w:t>introduce time requirements for SIVs to respond to approac</w:t>
      </w:r>
      <w:r w:rsidR="00DF7FEE">
        <w:rPr>
          <w:color w:val="auto"/>
        </w:rPr>
        <w:t>hes or engagements with project</w:t>
      </w:r>
      <w:r w:rsidRPr="00884C96">
        <w:rPr>
          <w:color w:val="auto"/>
        </w:rPr>
        <w:t xml:space="preserve"> proponents to ensure rapid closure and increase</w:t>
      </w:r>
      <w:r w:rsidR="00DF7FEE">
        <w:rPr>
          <w:color w:val="auto"/>
        </w:rPr>
        <w:t>d</w:t>
      </w:r>
      <w:r w:rsidRPr="00884C96">
        <w:rPr>
          <w:color w:val="auto"/>
        </w:rPr>
        <w:t xml:space="preserve"> certainty for potential projects;</w:t>
      </w:r>
      <w:r w:rsidR="002B50A4">
        <w:rPr>
          <w:color w:val="auto"/>
        </w:rPr>
        <w:t xml:space="preserve"> </w:t>
      </w:r>
    </w:p>
    <w:p w14:paraId="67E80A1B" w14:textId="5EC0B793" w:rsidR="002B50A4" w:rsidRPr="002B50A4" w:rsidRDefault="002B50A4" w:rsidP="002B50A4">
      <w:pPr>
        <w:pStyle w:val="ListParagraph"/>
        <w:numPr>
          <w:ilvl w:val="1"/>
          <w:numId w:val="21"/>
        </w:numPr>
        <w:rPr>
          <w:color w:val="auto"/>
        </w:rPr>
      </w:pPr>
      <w:r>
        <w:rPr>
          <w:color w:val="auto"/>
        </w:rPr>
        <w:lastRenderedPageBreak/>
        <w:t>standardised social license criteria requirements for considering support, consistent with the Future Made in Australia Community Benefit Principles; and</w:t>
      </w:r>
    </w:p>
    <w:p w14:paraId="39086940" w14:textId="2DBA2EFF" w:rsidR="00CA72E5" w:rsidRPr="00884C96" w:rsidRDefault="00CA72E5" w:rsidP="00CA72E5">
      <w:pPr>
        <w:pStyle w:val="ListParagraph"/>
        <w:numPr>
          <w:ilvl w:val="1"/>
          <w:numId w:val="21"/>
        </w:numPr>
        <w:rPr>
          <w:color w:val="auto"/>
        </w:rPr>
      </w:pPr>
      <w:proofErr w:type="gramStart"/>
      <w:r w:rsidRPr="00884C96">
        <w:rPr>
          <w:color w:val="auto"/>
        </w:rPr>
        <w:t>improve</w:t>
      </w:r>
      <w:proofErr w:type="gramEnd"/>
      <w:r w:rsidRPr="00884C96">
        <w:rPr>
          <w:color w:val="auto"/>
        </w:rPr>
        <w:t xml:space="preserve"> transparency and reporting by requiring more detailed project reporting through Annual Reports </w:t>
      </w:r>
      <w:r w:rsidR="007B1A9C">
        <w:rPr>
          <w:color w:val="auto"/>
        </w:rPr>
        <w:t xml:space="preserve">and quarterly reports to the Front Door </w:t>
      </w:r>
      <w:r w:rsidRPr="00884C96">
        <w:rPr>
          <w:color w:val="auto"/>
        </w:rPr>
        <w:t>including identifying projects that were not provided funding by the SIVs for the relevant financial year.</w:t>
      </w:r>
    </w:p>
    <w:p w14:paraId="12BA9651" w14:textId="77777777" w:rsidR="00CA72E5" w:rsidRDefault="00CA72E5" w:rsidP="00CA72E5">
      <w:pPr>
        <w:pStyle w:val="Heading1"/>
      </w:pPr>
      <w:r>
        <w:t xml:space="preserve">Streamlining the funding system </w:t>
      </w:r>
    </w:p>
    <w:p w14:paraId="1B2561A4" w14:textId="77777777" w:rsidR="00CA72E5" w:rsidRDefault="00CA72E5" w:rsidP="00CA72E5">
      <w:r>
        <w:t xml:space="preserve">In addition to timely access to appropriate public financing support, stakeholders continue to highlight the complexity of governments’ responses to the transition. While reflecting a significant response from all levels of government, the sheer number and complexity of programs is a barrier for individuals, companies and others. </w:t>
      </w:r>
    </w:p>
    <w:p w14:paraId="041F9D9C" w14:textId="23906D87" w:rsidR="00CA72E5" w:rsidRDefault="00CA72E5" w:rsidP="00CA72E5">
      <w:r>
        <w:t>The Authority, in close collaboration with the Climate Change Authority, collects information to inform the Climate Policy Tracker. The 2024 Tracker identified 180 Commonwealth policies and programs in place, delivered by 19 different entities</w:t>
      </w:r>
      <w:r w:rsidRPr="552E3A6B">
        <w:rPr>
          <w:rStyle w:val="FootnoteReference"/>
        </w:rPr>
        <w:footnoteReference w:id="12"/>
      </w:r>
      <w:r w:rsidR="00640B15">
        <w:t>, which</w:t>
      </w:r>
      <w:r>
        <w:t xml:space="preserve"> can be characterise</w:t>
      </w:r>
      <w:r w:rsidR="00DF7FEE">
        <w:t>d as climate-related initiatives. Many provide cross</w:t>
      </w:r>
      <w:r w:rsidR="00DF7FEE">
        <w:noBreakHyphen/>
      </w:r>
      <w:r>
        <w:t>cutting supp</w:t>
      </w:r>
      <w:r w:rsidR="00DF7FEE">
        <w:t>ort with</w:t>
      </w:r>
      <w:r>
        <w:t xml:space="preserve"> only a handful directly support</w:t>
      </w:r>
      <w:r w:rsidR="00DF7FEE">
        <w:t>ing</w:t>
      </w:r>
      <w:r>
        <w:t xml:space="preserve"> the transition to net zero (refer </w:t>
      </w:r>
      <w:r>
        <w:rPr>
          <w:u w:val="single"/>
        </w:rPr>
        <w:t>Attachment C</w:t>
      </w:r>
      <w:r>
        <w:t>).</w:t>
      </w:r>
    </w:p>
    <w:p w14:paraId="4BEE12A8" w14:textId="0B542DB3" w:rsidR="00CA72E5" w:rsidRDefault="00CA72E5" w:rsidP="00CA72E5">
      <w:r>
        <w:t>Most funding programs invite project proposals through dedicated, time-bound rounds. Similar to SIVs, funding programs almost exclusively focus on specific projects that they match to grant guidelines and do not support consideration of multi-staged projects or programs of work that are capable of deliver</w:t>
      </w:r>
      <w:r w:rsidR="004638A1">
        <w:t>ing transformative change.</w:t>
      </w:r>
    </w:p>
    <w:p w14:paraId="074E9E96" w14:textId="02F46898" w:rsidR="00CA72E5" w:rsidRDefault="00CA72E5" w:rsidP="00CA72E5">
      <w:r>
        <w:t xml:space="preserve">Equally while thematic programs such as investment allowances support the development of new industry and </w:t>
      </w:r>
      <w:r w:rsidR="00FE41B9">
        <w:t xml:space="preserve">the </w:t>
      </w:r>
      <w:r>
        <w:t>deepening of priority sectors, there is no opportunity to guide the economic activity and job creation to parts of the country where this is needed. There are few programs that can be classified as place-based – while some are specifically for regions, there is no option to pursue an approach to deliver transformative change in a specific place.</w:t>
      </w:r>
    </w:p>
    <w:p w14:paraId="6E269504" w14:textId="77777777" w:rsidR="00CA72E5" w:rsidRPr="006B7DB1" w:rsidRDefault="00CA72E5" w:rsidP="00CA72E5">
      <w:pPr>
        <w:rPr>
          <w:rStyle w:val="eop"/>
          <w:b/>
          <w:color w:val="auto"/>
        </w:rPr>
      </w:pPr>
      <w:r w:rsidRPr="006B7DB1">
        <w:rPr>
          <w:rStyle w:val="eop"/>
          <w:b/>
          <w:color w:val="auto"/>
        </w:rPr>
        <w:t xml:space="preserve">Actions: </w:t>
      </w:r>
    </w:p>
    <w:p w14:paraId="592FA0F4" w14:textId="1456A815" w:rsidR="00CA72E5" w:rsidRPr="00C97FE3" w:rsidRDefault="00CA72E5" w:rsidP="00CA72E5">
      <w:pPr>
        <w:pStyle w:val="ListParagraph"/>
        <w:numPr>
          <w:ilvl w:val="0"/>
          <w:numId w:val="21"/>
        </w:numPr>
        <w:rPr>
          <w:rStyle w:val="eop"/>
          <w:color w:val="auto"/>
        </w:rPr>
      </w:pPr>
      <w:r w:rsidRPr="00C97FE3">
        <w:rPr>
          <w:rStyle w:val="eop"/>
          <w:color w:val="auto"/>
        </w:rPr>
        <w:t>The Government should standardise requirements for applicants for Government programs and consider using Artificial Intelligence to better assist stakeholders to navigate the complex system of policies and programs.</w:t>
      </w:r>
      <w:r w:rsidR="002B50A4" w:rsidRPr="002B50A4">
        <w:rPr>
          <w:rStyle w:val="eop"/>
          <w:color w:val="auto"/>
        </w:rPr>
        <w:t xml:space="preserve"> </w:t>
      </w:r>
    </w:p>
    <w:p w14:paraId="133E9D11" w14:textId="47A72ED9" w:rsidR="00CA72E5" w:rsidRPr="00C97FE3" w:rsidRDefault="00CA72E5" w:rsidP="00CA72E5">
      <w:pPr>
        <w:pStyle w:val="ListParagraph"/>
        <w:numPr>
          <w:ilvl w:val="0"/>
          <w:numId w:val="21"/>
        </w:numPr>
        <w:rPr>
          <w:rStyle w:val="eop"/>
          <w:color w:val="auto"/>
        </w:rPr>
      </w:pPr>
      <w:r w:rsidRPr="00C97FE3">
        <w:rPr>
          <w:rStyle w:val="eop"/>
          <w:color w:val="auto"/>
        </w:rPr>
        <w:t xml:space="preserve">The Government should include a weighting in the assessment criteria for programs to encourage proposals in areas that are a priority for the </w:t>
      </w:r>
      <w:r w:rsidR="00436762">
        <w:rPr>
          <w:rStyle w:val="eop"/>
          <w:color w:val="auto"/>
        </w:rPr>
        <w:t>transition</w:t>
      </w:r>
      <w:r w:rsidR="00436762" w:rsidRPr="00436762">
        <w:rPr>
          <w:rStyle w:val="eop"/>
          <w:color w:val="auto"/>
        </w:rPr>
        <w:t>. This should include standard requirements around social license criteria to ensure consistency and simplicity.</w:t>
      </w:r>
      <w:r w:rsidRPr="00C97FE3">
        <w:rPr>
          <w:rStyle w:val="eop"/>
          <w:color w:val="auto"/>
        </w:rPr>
        <w:t xml:space="preserve"> </w:t>
      </w:r>
    </w:p>
    <w:p w14:paraId="641C4248" w14:textId="77777777" w:rsidR="00CA72E5" w:rsidRPr="00C97FE3" w:rsidRDefault="00CA72E5" w:rsidP="00CA72E5">
      <w:pPr>
        <w:pStyle w:val="ListParagraph"/>
        <w:numPr>
          <w:ilvl w:val="0"/>
          <w:numId w:val="21"/>
        </w:numPr>
        <w:rPr>
          <w:rStyle w:val="eop"/>
          <w:color w:val="auto"/>
        </w:rPr>
      </w:pPr>
      <w:r w:rsidRPr="00C97FE3">
        <w:rPr>
          <w:rStyle w:val="eop"/>
          <w:color w:val="auto"/>
        </w:rPr>
        <w:t>The Government should monitor the utilisation and effectiveness of Government programs in real time in transitioning regions to ensure they are delivering the Government’s policies and take action where programs underperform.</w:t>
      </w:r>
    </w:p>
    <w:p w14:paraId="2B27AB56" w14:textId="77777777" w:rsidR="00CA72E5" w:rsidRPr="006853B7" w:rsidRDefault="00CA72E5" w:rsidP="00CA72E5">
      <w:pPr>
        <w:pStyle w:val="ListParagraph"/>
        <w:ind w:left="360"/>
        <w:rPr>
          <w:color w:val="auto"/>
          <w:sz w:val="32"/>
        </w:rPr>
      </w:pPr>
    </w:p>
    <w:p w14:paraId="2BE4BA4A" w14:textId="77777777" w:rsidR="00CA72E5" w:rsidRPr="00C97FE3" w:rsidRDefault="00CA72E5" w:rsidP="00CA72E5">
      <w:pPr>
        <w:pStyle w:val="Title"/>
        <w:rPr>
          <w:color w:val="auto"/>
          <w:sz w:val="32"/>
          <w:szCs w:val="32"/>
        </w:rPr>
      </w:pPr>
      <w:r w:rsidRPr="00C97FE3">
        <w:rPr>
          <w:color w:val="auto"/>
          <w:sz w:val="32"/>
          <w:szCs w:val="32"/>
        </w:rPr>
        <w:t>Collaboration</w:t>
      </w:r>
    </w:p>
    <w:p w14:paraId="00CB7DA2" w14:textId="77777777" w:rsidR="00CA72E5" w:rsidRDefault="00CA72E5" w:rsidP="00CA72E5">
      <w:r>
        <w:t xml:space="preserve">Different levels of government collaborate to support the energy transition, including through entities like the Authority. However, more needs to be done to improve coordination with the objective of achieving alignment between layers of government, and sustained collaboration with industry and communities. </w:t>
      </w:r>
    </w:p>
    <w:p w14:paraId="1F70E413" w14:textId="77777777" w:rsidR="006F170D" w:rsidRDefault="00CA72E5" w:rsidP="00CA72E5">
      <w:r>
        <w:t>Climate targets exist at all levels of government and in industry</w:t>
      </w:r>
      <w:r w:rsidR="00FE41B9">
        <w:t>. W</w:t>
      </w:r>
      <w:r>
        <w:t xml:space="preserve">hile most have the same net zero by 2050 end-target, the interim objectives and pace of delivery differs. </w:t>
      </w:r>
    </w:p>
    <w:p w14:paraId="199F4DAD" w14:textId="4BA29958" w:rsidR="00CA72E5" w:rsidRPr="00695A19" w:rsidRDefault="00CE4E94" w:rsidP="00CA72E5">
      <w:pPr>
        <w:rPr>
          <w:color w:val="auto"/>
        </w:rPr>
      </w:pPr>
      <w:r w:rsidRPr="00695A19">
        <w:rPr>
          <w:color w:val="auto"/>
        </w:rPr>
        <w:lastRenderedPageBreak/>
        <w:t xml:space="preserve">The Authority </w:t>
      </w:r>
      <w:r w:rsidR="006F170D" w:rsidRPr="00695A19">
        <w:rPr>
          <w:color w:val="auto"/>
        </w:rPr>
        <w:t>for example notes the importance of strategic, well-considered and timed road, rail and port infrastructure as part of the restructuring of the economy and the roll out of renewable energy infrastructure. The shift to EVs and other transport electrification is necessary but not sufficient to decarbonise the sector – for example it also requires decarbonisation of the electricity network and an increase in electricity generation to handle increased demand as driven by the electricity and energy sector plan. The decarbonisation of transport will help other sectors to decarbonise (e.g. agriculture, resources, industry).</w:t>
      </w:r>
    </w:p>
    <w:p w14:paraId="0F73A491" w14:textId="2EE3AB18" w:rsidR="00CA72E5" w:rsidRPr="006853B7" w:rsidRDefault="00CA72E5" w:rsidP="00CA72E5">
      <w:pPr>
        <w:rPr>
          <w:color w:val="auto"/>
        </w:rPr>
      </w:pPr>
      <w:r>
        <w:t>Stakeholders have observed a lack of clarity around the pathways to delivery noting that state governments are often in competition with each other to attract investment</w:t>
      </w:r>
      <w:r>
        <w:rPr>
          <w:rStyle w:val="FootnoteReference"/>
        </w:rPr>
        <w:footnoteReference w:id="13"/>
      </w:r>
      <w:r>
        <w:t xml:space="preserve"> or reach their specific emission</w:t>
      </w:r>
      <w:r w:rsidR="00FE41B9">
        <w:t>s</w:t>
      </w:r>
      <w:r>
        <w:t xml:space="preserve"> reduction targets. Clarifying these pathways would allow for </w:t>
      </w:r>
      <w:r w:rsidR="00FE41B9">
        <w:t xml:space="preserve">the </w:t>
      </w:r>
      <w:r>
        <w:t xml:space="preserve">necessary sequencing of significant projects reducing competition for scarce skills and materials, and support local industries to better understand whether there is long-term demand for their products, giving </w:t>
      </w:r>
      <w:r w:rsidRPr="00C97FE3">
        <w:rPr>
          <w:color w:val="auto"/>
        </w:rPr>
        <w:t>them confidence to invest in manufacturing capability.</w:t>
      </w:r>
      <w:r w:rsidRPr="00C97FE3">
        <w:rPr>
          <w:rStyle w:val="FootnoteReference"/>
          <w:color w:val="auto"/>
        </w:rPr>
        <w:footnoteReference w:id="14"/>
      </w:r>
      <w:r w:rsidRPr="00C97FE3">
        <w:rPr>
          <w:color w:val="auto"/>
        </w:rPr>
        <w:t xml:space="preserve"> The Australian Electricity Workforce for the 2024 Integrat</w:t>
      </w:r>
      <w:r w:rsidR="00FE41B9">
        <w:rPr>
          <w:color w:val="auto"/>
        </w:rPr>
        <w:t>ed System Plan: Projects to 2050</w:t>
      </w:r>
      <w:r w:rsidRPr="00C97FE3">
        <w:rPr>
          <w:color w:val="auto"/>
        </w:rPr>
        <w:t xml:space="preserve"> Final Report for example highlights that almost 63,000 additional electricity sector workers will be needed by 2029, rising to almost 119,000 total workers by 2050.</w:t>
      </w:r>
      <w:r w:rsidRPr="00C97FE3">
        <w:rPr>
          <w:rStyle w:val="FootnoteReference"/>
          <w:color w:val="auto"/>
        </w:rPr>
        <w:footnoteReference w:id="15"/>
      </w:r>
      <w:r w:rsidRPr="00C97FE3">
        <w:rPr>
          <w:color w:val="auto"/>
        </w:rPr>
        <w:t xml:space="preserve">  </w:t>
      </w:r>
    </w:p>
    <w:p w14:paraId="627D0EED" w14:textId="75710191" w:rsidR="00CA72E5" w:rsidRPr="00C97FE3" w:rsidRDefault="00CA72E5" w:rsidP="00CA72E5">
      <w:pPr>
        <w:rPr>
          <w:color w:val="auto"/>
        </w:rPr>
      </w:pPr>
      <w:r w:rsidRPr="00C97FE3">
        <w:rPr>
          <w:color w:val="auto"/>
        </w:rPr>
        <w:t>Increased certainty around the timing of projects would also assist at a project level avoiding proponents having to wait for inputs</w:t>
      </w:r>
      <w:r w:rsidRPr="00C97FE3">
        <w:rPr>
          <w:rStyle w:val="FootnoteReference"/>
          <w:color w:val="auto"/>
        </w:rPr>
        <w:footnoteReference w:id="16"/>
      </w:r>
      <w:r w:rsidRPr="00C97FE3">
        <w:rPr>
          <w:color w:val="auto"/>
        </w:rPr>
        <w:t xml:space="preserve"> or potentially </w:t>
      </w:r>
      <w:r w:rsidR="00FE41B9">
        <w:rPr>
          <w:color w:val="auto"/>
        </w:rPr>
        <w:t xml:space="preserve">for </w:t>
      </w:r>
      <w:r w:rsidRPr="00C97FE3">
        <w:rPr>
          <w:color w:val="auto"/>
        </w:rPr>
        <w:t>connection to the NEM</w:t>
      </w:r>
      <w:r w:rsidR="00FE41B9">
        <w:rPr>
          <w:color w:val="auto"/>
        </w:rPr>
        <w:t>,</w:t>
      </w:r>
      <w:r w:rsidRPr="00C97FE3">
        <w:rPr>
          <w:color w:val="auto"/>
        </w:rPr>
        <w:t xml:space="preserve"> re</w:t>
      </w:r>
      <w:r w:rsidR="006F170D">
        <w:rPr>
          <w:color w:val="auto"/>
        </w:rPr>
        <w:t xml:space="preserve">ducing costs and increasing the </w:t>
      </w:r>
      <w:r w:rsidRPr="00C97FE3">
        <w:rPr>
          <w:color w:val="auto"/>
        </w:rPr>
        <w:t>certainty and timing of cash flow.</w:t>
      </w:r>
      <w:r w:rsidRPr="00C97FE3">
        <w:rPr>
          <w:rStyle w:val="FootnoteReference"/>
          <w:color w:val="auto"/>
        </w:rPr>
        <w:footnoteReference w:id="17"/>
      </w:r>
      <w:r w:rsidRPr="00C97FE3">
        <w:rPr>
          <w:rStyle w:val="FootnoteReference"/>
          <w:color w:val="auto"/>
        </w:rPr>
        <w:footnoteReference w:id="18"/>
      </w:r>
      <w:r w:rsidRPr="00C97FE3">
        <w:rPr>
          <w:color w:val="auto"/>
        </w:rPr>
        <w:t xml:space="preserve"> The AEMO NEW connection scorecard for example highlights that the average time for approved applications is around 9.6 months, approved registrations is around 5.6 months and full output a further 4.7 months.</w:t>
      </w:r>
      <w:r w:rsidRPr="00C97FE3">
        <w:rPr>
          <w:rStyle w:val="FootnoteReference"/>
          <w:color w:val="auto"/>
        </w:rPr>
        <w:footnoteReference w:id="19"/>
      </w:r>
    </w:p>
    <w:p w14:paraId="72B27DC9" w14:textId="77777777" w:rsidR="00CA72E5" w:rsidRPr="00C97FE3" w:rsidRDefault="00CA72E5" w:rsidP="00CA72E5">
      <w:pPr>
        <w:rPr>
          <w:color w:val="auto"/>
        </w:rPr>
      </w:pPr>
      <w:r w:rsidRPr="00C97FE3">
        <w:rPr>
          <w:color w:val="auto"/>
        </w:rPr>
        <w:t xml:space="preserve">The Authority hears repeated calls for a different way of operating, involving industry, workers and community groups in ongoing conversation with each other and government. Engagement should be sustained and dialled up and down as necessary. </w:t>
      </w:r>
    </w:p>
    <w:p w14:paraId="44908EE4" w14:textId="77777777" w:rsidR="00CA72E5" w:rsidRPr="00C97FE3" w:rsidRDefault="00CA72E5" w:rsidP="00CA72E5">
      <w:pPr>
        <w:rPr>
          <w:color w:val="auto"/>
        </w:rPr>
      </w:pPr>
      <w:r w:rsidRPr="00C97FE3">
        <w:rPr>
          <w:color w:val="auto"/>
        </w:rPr>
        <w:t>The OECD has also highlighted the need for change noting that meeting net-zero objectives is still possible but that governments themselves will need to reform, for example through innovative institutional arrangements, aligning public budgets, backing place-based climate action, and developing agile regulatory environments to be able to implement the policies at the scale and pace needed.</w:t>
      </w:r>
      <w:r w:rsidRPr="00C97FE3">
        <w:rPr>
          <w:rStyle w:val="FootnoteReference"/>
          <w:color w:val="auto"/>
        </w:rPr>
        <w:footnoteReference w:id="20"/>
      </w:r>
      <w:r w:rsidRPr="00C97FE3">
        <w:rPr>
          <w:color w:val="auto"/>
        </w:rPr>
        <w:t xml:space="preserve"> </w:t>
      </w:r>
    </w:p>
    <w:p w14:paraId="78C698DE" w14:textId="08B71FCD" w:rsidR="00CA72E5" w:rsidRPr="00C97FE3" w:rsidRDefault="00CA72E5" w:rsidP="00CA72E5">
      <w:pPr>
        <w:rPr>
          <w:b/>
          <w:color w:val="auto"/>
        </w:rPr>
      </w:pPr>
      <w:r w:rsidRPr="00C97FE3">
        <w:rPr>
          <w:color w:val="auto"/>
        </w:rPr>
        <w:t>Collaboration within and across industries will be critical to Australia being able to meet its 2050 targets. Currently connections within industry and across industries remain fragmented and are based upon existing connections or referrals through business networks. Ensuring publicly available</w:t>
      </w:r>
      <w:r>
        <w:rPr>
          <w:color w:val="auto"/>
        </w:rPr>
        <w:t>,</w:t>
      </w:r>
      <w:r w:rsidRPr="00C97FE3">
        <w:rPr>
          <w:color w:val="auto"/>
        </w:rPr>
        <w:t xml:space="preserve"> no cost information on potential suppliers nationally to project proponents is a necessary step in better facilitating these connections</w:t>
      </w:r>
      <w:r w:rsidR="006F170D">
        <w:rPr>
          <w:color w:val="auto"/>
        </w:rPr>
        <w:t>,</w:t>
      </w:r>
      <w:r w:rsidRPr="00C97FE3">
        <w:rPr>
          <w:color w:val="auto"/>
        </w:rPr>
        <w:t xml:space="preserve"> to increase economic activity and </w:t>
      </w:r>
      <w:r>
        <w:rPr>
          <w:color w:val="auto"/>
        </w:rPr>
        <w:t>create local jobs</w:t>
      </w:r>
      <w:r w:rsidRPr="00C97FE3">
        <w:rPr>
          <w:color w:val="auto"/>
        </w:rPr>
        <w:t>.</w:t>
      </w:r>
      <w:r w:rsidRPr="00C97FE3">
        <w:rPr>
          <w:rStyle w:val="FootnoteReference"/>
          <w:color w:val="auto"/>
        </w:rPr>
        <w:footnoteReference w:id="21"/>
      </w:r>
      <w:r w:rsidRPr="00C97FE3">
        <w:rPr>
          <w:b/>
          <w:color w:val="auto"/>
        </w:rPr>
        <w:t xml:space="preserve"> </w:t>
      </w:r>
    </w:p>
    <w:p w14:paraId="692B4C33" w14:textId="77777777" w:rsidR="00D140E4" w:rsidRDefault="00D140E4" w:rsidP="00CA72E5">
      <w:pPr>
        <w:rPr>
          <w:b/>
          <w:color w:val="auto"/>
        </w:rPr>
      </w:pPr>
    </w:p>
    <w:p w14:paraId="75E366E5" w14:textId="4ED55504" w:rsidR="00CA72E5" w:rsidRPr="00C97FE3" w:rsidRDefault="00CA72E5" w:rsidP="00CA72E5">
      <w:pPr>
        <w:rPr>
          <w:b/>
          <w:color w:val="auto"/>
        </w:rPr>
      </w:pPr>
      <w:r w:rsidRPr="00C97FE3">
        <w:rPr>
          <w:b/>
          <w:color w:val="auto"/>
        </w:rPr>
        <w:lastRenderedPageBreak/>
        <w:t xml:space="preserve">Actions: </w:t>
      </w:r>
    </w:p>
    <w:p w14:paraId="2FEF4EE9" w14:textId="189EFE33" w:rsidR="00CA72E5" w:rsidRPr="00C97FE3" w:rsidRDefault="00CA72E5" w:rsidP="00CA72E5">
      <w:pPr>
        <w:pStyle w:val="ListParagraph"/>
        <w:numPr>
          <w:ilvl w:val="0"/>
          <w:numId w:val="21"/>
        </w:numPr>
        <w:rPr>
          <w:rStyle w:val="eop"/>
          <w:color w:val="auto"/>
        </w:rPr>
      </w:pPr>
      <w:r w:rsidRPr="00C97FE3">
        <w:rPr>
          <w:rStyle w:val="eop"/>
          <w:color w:val="auto"/>
        </w:rPr>
        <w:t>Governments should develop an integrated national net zero infrastructure program incorporating the known and proposed construction timelines across renewable sectors. Building on existing government and private sector products this would allow for better sequencing of projects reducing potential delays a</w:t>
      </w:r>
      <w:r w:rsidR="004638A1">
        <w:rPr>
          <w:rStyle w:val="eop"/>
          <w:color w:val="auto"/>
        </w:rPr>
        <w:t>nd overlaps and on a</w:t>
      </w:r>
      <w:r w:rsidRPr="00C97FE3">
        <w:rPr>
          <w:rStyle w:val="eop"/>
          <w:color w:val="auto"/>
        </w:rPr>
        <w:t xml:space="preserve"> sector wide basis would assist in reducing avoidable cost pressures for project inputs.</w:t>
      </w:r>
      <w:r w:rsidRPr="00C97FE3">
        <w:rPr>
          <w:rStyle w:val="FootnoteReference"/>
          <w:color w:val="auto"/>
        </w:rPr>
        <w:footnoteReference w:id="22"/>
      </w:r>
    </w:p>
    <w:p w14:paraId="0AB313E5" w14:textId="77777777" w:rsidR="00CA72E5" w:rsidRPr="00C97FE3" w:rsidRDefault="00CA72E5" w:rsidP="00CA72E5">
      <w:pPr>
        <w:pStyle w:val="ListParagraph"/>
        <w:numPr>
          <w:ilvl w:val="0"/>
          <w:numId w:val="21"/>
        </w:numPr>
        <w:rPr>
          <w:color w:val="auto"/>
        </w:rPr>
      </w:pPr>
      <w:r w:rsidRPr="00C97FE3">
        <w:rPr>
          <w:color w:val="auto"/>
        </w:rPr>
        <w:t xml:space="preserve">Government should step up its role to support collaboration, by ensuring that the information held by the Industry Capability Network (ICN) is further expanded, and available free of charge, to deepen the role ICN can play in connecting developers and potential suppliers.   </w:t>
      </w:r>
      <w:r>
        <w:rPr>
          <w:color w:val="auto"/>
        </w:rPr>
        <w:br/>
      </w:r>
    </w:p>
    <w:p w14:paraId="130EE41A" w14:textId="77777777" w:rsidR="00CA72E5" w:rsidRPr="00C1522F" w:rsidRDefault="00CA72E5" w:rsidP="00CA72E5">
      <w:pPr>
        <w:pStyle w:val="Title"/>
        <w:rPr>
          <w:sz w:val="32"/>
          <w:szCs w:val="32"/>
        </w:rPr>
      </w:pPr>
      <w:r>
        <w:rPr>
          <w:sz w:val="32"/>
          <w:szCs w:val="32"/>
        </w:rPr>
        <w:t>R</w:t>
      </w:r>
      <w:r w:rsidRPr="00C1522F">
        <w:rPr>
          <w:sz w:val="32"/>
          <w:szCs w:val="32"/>
        </w:rPr>
        <w:t>egulatory Settings</w:t>
      </w:r>
    </w:p>
    <w:p w14:paraId="3D517DDB" w14:textId="77777777" w:rsidR="00CA72E5" w:rsidRDefault="00CA72E5" w:rsidP="00CA72E5">
      <w:r>
        <w:t>Approval processes for renewable energy infrastructure are slow</w:t>
      </w:r>
      <w:r>
        <w:rPr>
          <w:rStyle w:val="FootnoteReference"/>
        </w:rPr>
        <w:footnoteReference w:id="23"/>
      </w:r>
      <w:r>
        <w:t xml:space="preserve">, cumbersome and unpredictable and as a result, approvals have introduced a risk that is hard for industry to manage. </w:t>
      </w:r>
    </w:p>
    <w:p w14:paraId="7A560E2D" w14:textId="77777777" w:rsidR="00CA72E5" w:rsidRPr="00C97FE3" w:rsidRDefault="00CA72E5" w:rsidP="00CA72E5">
      <w:pPr>
        <w:rPr>
          <w:color w:val="auto"/>
        </w:rPr>
      </w:pPr>
      <w:r>
        <w:t xml:space="preserve">According to the Clean Energy Investor Group, unpredictability arises because of poor guidance (in particular around cultural heritage and community engagement expectations), overlaps between different agencies, and </w:t>
      </w:r>
      <w:r w:rsidRPr="00C97FE3">
        <w:rPr>
          <w:color w:val="auto"/>
        </w:rPr>
        <w:t>changes to requirements mid-process with limited transitional arrangements.</w:t>
      </w:r>
      <w:r w:rsidRPr="00C97FE3">
        <w:rPr>
          <w:rStyle w:val="FootnoteReference"/>
          <w:color w:val="auto"/>
        </w:rPr>
        <w:footnoteReference w:id="24"/>
      </w:r>
      <w:r w:rsidRPr="00C97FE3">
        <w:rPr>
          <w:color w:val="auto"/>
        </w:rPr>
        <w:t xml:space="preserve"> </w:t>
      </w:r>
    </w:p>
    <w:p w14:paraId="526AC976" w14:textId="77777777" w:rsidR="00CA72E5" w:rsidRPr="00C97FE3" w:rsidRDefault="00CA72E5" w:rsidP="00CA72E5">
      <w:pPr>
        <w:rPr>
          <w:color w:val="auto"/>
        </w:rPr>
      </w:pPr>
      <w:r w:rsidRPr="00C97FE3">
        <w:rPr>
          <w:color w:val="auto"/>
        </w:rPr>
        <w:t xml:space="preserve">The impact of these delays is a lack of investment-ready opportunities with the right risk-return. This issue will be compounded as capital flows looking towards Australia as a potential destination for investment in renewable energy and related sectors increase over the short to medium term. </w:t>
      </w:r>
    </w:p>
    <w:p w14:paraId="65BF8A1C" w14:textId="77777777" w:rsidR="00CA72E5" w:rsidRPr="00C97FE3" w:rsidRDefault="00CA72E5" w:rsidP="00CA72E5">
      <w:pPr>
        <w:rPr>
          <w:color w:val="auto"/>
        </w:rPr>
      </w:pPr>
      <w:r w:rsidRPr="00C97FE3">
        <w:rPr>
          <w:color w:val="auto"/>
        </w:rPr>
        <w:t>Various approaches and reforms are underway domestically to address some bottlenecks. For example, the National Renewable Energy Priority List may offer a pathway through planning and environmental approvals, but such initiatives should be monitored closely to ensure these meet their intended objectives.</w:t>
      </w:r>
    </w:p>
    <w:p w14:paraId="002230A3" w14:textId="77777777" w:rsidR="00CA72E5" w:rsidRDefault="00CA72E5" w:rsidP="00CA72E5">
      <w:r>
        <w:t>The Major Project Facilitation Agency identified 39 legislative approvals at the Federal level that commonly apply to major projects in Australia.</w:t>
      </w:r>
      <w:r>
        <w:rPr>
          <w:rStyle w:val="FootnoteReference"/>
        </w:rPr>
        <w:footnoteReference w:id="25"/>
      </w:r>
      <w:r>
        <w:t xml:space="preserve"> But for clean energy and net zero projects, </w:t>
      </w:r>
      <w:r w:rsidRPr="7C98A01C">
        <w:rPr>
          <w:i/>
          <w:iCs/>
        </w:rPr>
        <w:t xml:space="preserve">Environment Protection and Biodiversity Conservation Act 1999 </w:t>
      </w:r>
      <w:r>
        <w:t>approvals are often the final hurdle.</w:t>
      </w:r>
      <w:r>
        <w:rPr>
          <w:rStyle w:val="FootnoteReference"/>
        </w:rPr>
        <w:footnoteReference w:id="26"/>
      </w:r>
      <w:r>
        <w:t xml:space="preserve"> The time taken to complete a </w:t>
      </w:r>
      <w:r w:rsidRPr="00A67404">
        <w:t>formal assess</w:t>
      </w:r>
      <w:r>
        <w:t>ment and approval under the Act following a referral decision depends on the project’s complexity.</w:t>
      </w:r>
      <w:r>
        <w:rPr>
          <w:rStyle w:val="FootnoteReference"/>
        </w:rPr>
        <w:footnoteReference w:id="27"/>
      </w:r>
      <w:r>
        <w:t xml:space="preserve"> </w:t>
      </w:r>
    </w:p>
    <w:p w14:paraId="518E54D6" w14:textId="77777777" w:rsidR="00D140E4" w:rsidRDefault="00D140E4" w:rsidP="00CA72E5"/>
    <w:p w14:paraId="1277FA87" w14:textId="77777777" w:rsidR="00D140E4" w:rsidRDefault="00D140E4" w:rsidP="00CA72E5"/>
    <w:p w14:paraId="3AB0963C" w14:textId="0010757D" w:rsidR="00CA72E5" w:rsidRDefault="00CA72E5" w:rsidP="00CA72E5">
      <w:r>
        <w:lastRenderedPageBreak/>
        <w:t>Stakeholders such as the Clean Energy Investor Group also note that as 70 per cent of the capital in the clean energy sector is from foreign sources the foreign investment screening processes are a challenge too – especially where renewable energy projects involve the purchase of agricultural land. For most foreign investors, the threshold for screening for the acquisition of agricultural land is $15 million (cumulative).</w:t>
      </w:r>
      <w:r>
        <w:rPr>
          <w:rStyle w:val="FootnoteReference"/>
        </w:rPr>
        <w:footnoteReference w:id="28"/>
      </w:r>
      <w:r>
        <w:t xml:space="preserve">  </w:t>
      </w:r>
    </w:p>
    <w:p w14:paraId="23805E68" w14:textId="49FF0B59" w:rsidR="00CA72E5" w:rsidRDefault="00CA72E5" w:rsidP="00CA72E5">
      <w:pPr>
        <w:rPr>
          <w:color w:val="auto"/>
        </w:rPr>
      </w:pPr>
      <w:r>
        <w:t>Challenges with securing transmission access and grid connection in the NEM also persist and are likely to get worse if delays with the transmission build out persist.</w:t>
      </w:r>
      <w:r>
        <w:rPr>
          <w:rStyle w:val="FootnoteReference"/>
        </w:rPr>
        <w:footnoteReference w:id="29"/>
      </w:r>
      <w:r>
        <w:t xml:space="preserve"> </w:t>
      </w:r>
      <w:r w:rsidR="00FE41B9">
        <w:t xml:space="preserve">The </w:t>
      </w:r>
      <w:r w:rsidRPr="00D644F4">
        <w:t>AEMO, in collaboration with industry, is</w:t>
      </w:r>
      <w:r>
        <w:t xml:space="preserve"> continuing to progress a wide-ranging connection</w:t>
      </w:r>
      <w:r w:rsidRPr="00D644F4">
        <w:t xml:space="preserve"> reform program aimed</w:t>
      </w:r>
      <w:r>
        <w:t xml:space="preserve"> at streamlining the connection</w:t>
      </w:r>
      <w:r w:rsidRPr="00D644F4">
        <w:t xml:space="preserve"> process and ensuring that technical requirements remain relevant for emerging technologies such as grid forming inverters and large inverter-based loads.</w:t>
      </w:r>
      <w:r>
        <w:rPr>
          <w:rStyle w:val="FootnoteReference"/>
        </w:rPr>
        <w:footnoteReference w:id="30"/>
      </w:r>
    </w:p>
    <w:p w14:paraId="0EB27F25" w14:textId="77777777" w:rsidR="00CA72E5" w:rsidRDefault="00CA72E5" w:rsidP="00CA72E5">
      <w:pPr>
        <w:rPr>
          <w:color w:val="auto"/>
        </w:rPr>
      </w:pPr>
      <w:r>
        <w:rPr>
          <w:color w:val="auto"/>
        </w:rPr>
        <w:t>Government could also explore approaches</w:t>
      </w:r>
      <w:r w:rsidRPr="00BC5FA5">
        <w:rPr>
          <w:color w:val="auto"/>
        </w:rPr>
        <w:t xml:space="preserve"> adopted in</w:t>
      </w:r>
      <w:r>
        <w:rPr>
          <w:color w:val="auto"/>
        </w:rPr>
        <w:t xml:space="preserve"> other countries </w:t>
      </w:r>
      <w:r w:rsidRPr="00BC5FA5">
        <w:rPr>
          <w:color w:val="auto"/>
        </w:rPr>
        <w:t xml:space="preserve">to </w:t>
      </w:r>
      <w:r>
        <w:rPr>
          <w:color w:val="auto"/>
        </w:rPr>
        <w:t>change the risk-reward structure for critically important pieces of energy infrastructure.</w:t>
      </w:r>
    </w:p>
    <w:p w14:paraId="70C46D3B" w14:textId="4E564019" w:rsidR="00CA72E5" w:rsidRPr="009112D6" w:rsidRDefault="00CA72E5" w:rsidP="00CA72E5">
      <w:pPr>
        <w:rPr>
          <w:color w:val="auto"/>
        </w:rPr>
      </w:pPr>
      <w:r>
        <w:rPr>
          <w:color w:val="auto"/>
        </w:rPr>
        <w:t xml:space="preserve">Faced with a policy approach that failed to deliver on its offshore wind target, the Dutch Government struck an energy agreement with industry and the community in 2013. </w:t>
      </w:r>
      <w:r w:rsidR="00FE41B9">
        <w:rPr>
          <w:color w:val="auto"/>
        </w:rPr>
        <w:t xml:space="preserve">The </w:t>
      </w:r>
      <w:r>
        <w:rPr>
          <w:color w:val="auto"/>
        </w:rPr>
        <w:t>Government has assumed responsibility for pre</w:t>
      </w:r>
      <w:r>
        <w:rPr>
          <w:color w:val="auto"/>
        </w:rPr>
        <w:noBreakHyphen/>
        <w:t xml:space="preserve">development work by pre-selecting sites, undertaking the geo-technical studies and obtaining certification as well as all permits prior to going to tender each year for a single large-scale site. The costs involved with the pre-development work are recouped from the successful tenderer. </w:t>
      </w:r>
      <w:r w:rsidR="00FE41B9">
        <w:rPr>
          <w:color w:val="auto"/>
        </w:rPr>
        <w:t xml:space="preserve">The </w:t>
      </w:r>
      <w:r>
        <w:rPr>
          <w:color w:val="auto"/>
        </w:rPr>
        <w:t xml:space="preserve">Government has also assumed responsibility for the grid connection, significantly de-risking the project and managed to attract zero </w:t>
      </w:r>
      <w:r>
        <w:rPr>
          <w:color w:val="auto"/>
        </w:rPr>
        <w:noBreakHyphen/>
        <w:t>subsidy bids. In its latest tenders, the Government has shifted the assessment towards non-price criteria (85:15 per cent). Since the first tender in 2016, 10.2 GW of capacity has been secured.</w:t>
      </w:r>
      <w:r>
        <w:rPr>
          <w:rStyle w:val="FootnoteReference"/>
          <w:color w:val="auto"/>
        </w:rPr>
        <w:footnoteReference w:id="31"/>
      </w:r>
    </w:p>
    <w:p w14:paraId="3A9F5284" w14:textId="77777777" w:rsidR="00CA72E5" w:rsidRPr="00472CEE" w:rsidRDefault="00CA72E5" w:rsidP="00CA72E5">
      <w:pPr>
        <w:rPr>
          <w:b/>
          <w:color w:val="auto"/>
        </w:rPr>
      </w:pPr>
      <w:r w:rsidRPr="00472CEE">
        <w:rPr>
          <w:b/>
          <w:color w:val="auto"/>
        </w:rPr>
        <w:t xml:space="preserve">Actions: </w:t>
      </w:r>
    </w:p>
    <w:p w14:paraId="0D2D62F4" w14:textId="07A48656" w:rsidR="00CA72E5" w:rsidRPr="00C97FE3" w:rsidRDefault="00CA72E5" w:rsidP="00CA72E5">
      <w:pPr>
        <w:pStyle w:val="ListParagraph"/>
        <w:numPr>
          <w:ilvl w:val="0"/>
          <w:numId w:val="21"/>
        </w:numPr>
        <w:rPr>
          <w:color w:val="auto"/>
        </w:rPr>
      </w:pPr>
      <w:r w:rsidRPr="370BC308">
        <w:rPr>
          <w:color w:val="auto"/>
        </w:rPr>
        <w:t xml:space="preserve">Government </w:t>
      </w:r>
      <w:r w:rsidRPr="00C97FE3">
        <w:rPr>
          <w:color w:val="auto"/>
        </w:rPr>
        <w:t xml:space="preserve">should introduce the necessary exemptions </w:t>
      </w:r>
      <w:r w:rsidRPr="370BC308">
        <w:rPr>
          <w:color w:val="auto"/>
        </w:rPr>
        <w:t xml:space="preserve">and changes to current regulatory and other approval </w:t>
      </w:r>
      <w:r w:rsidRPr="00C97FE3">
        <w:rPr>
          <w:color w:val="auto"/>
        </w:rPr>
        <w:t>processes that acknowledge the urgency of meeting greenhouse gas emissions and transition objectives.</w:t>
      </w:r>
      <w:r w:rsidR="002B50A4" w:rsidRPr="002B50A4">
        <w:rPr>
          <w:color w:val="auto"/>
        </w:rPr>
        <w:t xml:space="preserve"> </w:t>
      </w:r>
      <w:r w:rsidR="002B50A4">
        <w:rPr>
          <w:color w:val="auto"/>
        </w:rPr>
        <w:t xml:space="preserve">Decision-making should be accelerated without compromising on social license </w:t>
      </w:r>
      <w:proofErr w:type="gramStart"/>
      <w:r w:rsidR="002B50A4">
        <w:rPr>
          <w:color w:val="auto"/>
        </w:rPr>
        <w:t>criteria, that</w:t>
      </w:r>
      <w:proofErr w:type="gramEnd"/>
      <w:r w:rsidR="002B50A4">
        <w:rPr>
          <w:color w:val="auto"/>
        </w:rPr>
        <w:t xml:space="preserve"> are key to ensuring broad support for the energy transition.</w:t>
      </w:r>
    </w:p>
    <w:p w14:paraId="2139EBAE" w14:textId="77777777" w:rsidR="00CA72E5" w:rsidRPr="00C97FE3" w:rsidRDefault="00CA72E5" w:rsidP="00CA72E5">
      <w:pPr>
        <w:pStyle w:val="ListParagraph"/>
        <w:numPr>
          <w:ilvl w:val="0"/>
          <w:numId w:val="21"/>
        </w:numPr>
        <w:rPr>
          <w:color w:val="auto"/>
        </w:rPr>
      </w:pPr>
      <w:r w:rsidRPr="00C97FE3">
        <w:rPr>
          <w:color w:val="auto"/>
        </w:rPr>
        <w:t xml:space="preserve">Governments should examine in what circumstances to proactively assume responsibility for regulatory approvals, to minimise the time and risks associated with tendering for priority net zero projects. </w:t>
      </w:r>
    </w:p>
    <w:p w14:paraId="46133F2A" w14:textId="77777777" w:rsidR="00CA72E5" w:rsidRPr="00C97FE3" w:rsidRDefault="00CA72E5" w:rsidP="00CA72E5">
      <w:pPr>
        <w:pStyle w:val="ListParagraph"/>
        <w:ind w:left="360"/>
        <w:rPr>
          <w:rStyle w:val="eop"/>
          <w:color w:val="auto"/>
        </w:rPr>
      </w:pPr>
      <w:r w:rsidRPr="00C97FE3">
        <w:rPr>
          <w:rStyle w:val="eop"/>
          <w:b/>
          <w:color w:val="auto"/>
          <w:sz w:val="24"/>
        </w:rPr>
        <w:br w:type="page"/>
      </w:r>
    </w:p>
    <w:p w14:paraId="6B6AF6A3" w14:textId="77777777" w:rsidR="00CA72E5" w:rsidRDefault="00CA72E5" w:rsidP="00CA72E5">
      <w:pPr>
        <w:ind w:left="357"/>
        <w:jc w:val="right"/>
        <w:rPr>
          <w:rStyle w:val="eop"/>
          <w:b/>
          <w:color w:val="auto"/>
          <w:sz w:val="24"/>
        </w:rPr>
      </w:pPr>
      <w:r>
        <w:rPr>
          <w:rStyle w:val="eop"/>
          <w:b/>
          <w:color w:val="auto"/>
          <w:sz w:val="24"/>
        </w:rPr>
        <w:lastRenderedPageBreak/>
        <w:t>ATTACHMENT A</w:t>
      </w:r>
    </w:p>
    <w:p w14:paraId="0184B6E4" w14:textId="77777777" w:rsidR="00CA72E5" w:rsidRDefault="00CA72E5" w:rsidP="00CA72E5">
      <w:pPr>
        <w:jc w:val="center"/>
        <w:rPr>
          <w:rStyle w:val="eop"/>
          <w:b/>
          <w:color w:val="auto"/>
          <w:sz w:val="24"/>
        </w:rPr>
      </w:pPr>
      <w:r>
        <w:rPr>
          <w:rStyle w:val="eop"/>
          <w:b/>
          <w:color w:val="auto"/>
          <w:sz w:val="24"/>
        </w:rPr>
        <w:t>Current Commonwealth SIVs</w:t>
      </w:r>
    </w:p>
    <w:tbl>
      <w:tblPr>
        <w:tblStyle w:val="TableGrid"/>
        <w:tblW w:w="0" w:type="auto"/>
        <w:tblLook w:val="04A0" w:firstRow="1" w:lastRow="0" w:firstColumn="1" w:lastColumn="0" w:noHBand="0" w:noVBand="1"/>
        <w:tblCaption w:val="Current Commonwealth SIVS"/>
        <w:tblDescription w:val="A list of eight Specialist Investment Vehicles (SIVs), provides a short description of the SIVs and the dates they were established."/>
      </w:tblPr>
      <w:tblGrid>
        <w:gridCol w:w="6232"/>
        <w:gridCol w:w="3624"/>
      </w:tblGrid>
      <w:tr w:rsidR="00CA72E5" w:rsidRPr="00F60EAA" w14:paraId="307A6A7D" w14:textId="77777777" w:rsidTr="00882A5B">
        <w:trPr>
          <w:tblHeader/>
        </w:trPr>
        <w:tc>
          <w:tcPr>
            <w:tcW w:w="6232" w:type="dxa"/>
            <w:shd w:val="clear" w:color="auto" w:fill="BFBFBF" w:themeFill="background1" w:themeFillShade="BF"/>
          </w:tcPr>
          <w:p w14:paraId="5B68FD0D" w14:textId="77777777" w:rsidR="00CA72E5" w:rsidRPr="003858D3" w:rsidRDefault="00CA72E5" w:rsidP="00B16B49">
            <w:pPr>
              <w:jc w:val="center"/>
              <w:rPr>
                <w:rStyle w:val="eop"/>
                <w:b/>
                <w:color w:val="auto"/>
              </w:rPr>
            </w:pPr>
            <w:r w:rsidRPr="003858D3">
              <w:rPr>
                <w:rStyle w:val="eop"/>
                <w:b/>
                <w:color w:val="auto"/>
              </w:rPr>
              <w:t>Entity</w:t>
            </w:r>
          </w:p>
        </w:tc>
        <w:tc>
          <w:tcPr>
            <w:tcW w:w="3624" w:type="dxa"/>
            <w:shd w:val="clear" w:color="auto" w:fill="BFBFBF" w:themeFill="background1" w:themeFillShade="BF"/>
          </w:tcPr>
          <w:p w14:paraId="65C0CCB7" w14:textId="77777777" w:rsidR="00CA72E5" w:rsidRPr="003858D3" w:rsidRDefault="00CA72E5" w:rsidP="00B16B49">
            <w:pPr>
              <w:jc w:val="center"/>
              <w:rPr>
                <w:rStyle w:val="eop"/>
                <w:b/>
                <w:color w:val="auto"/>
              </w:rPr>
            </w:pPr>
            <w:r w:rsidRPr="003858D3">
              <w:rPr>
                <w:rStyle w:val="eop"/>
                <w:b/>
                <w:color w:val="auto"/>
              </w:rPr>
              <w:t>Date of Establishment</w:t>
            </w:r>
          </w:p>
        </w:tc>
      </w:tr>
      <w:tr w:rsidR="00CA72E5" w:rsidRPr="00F60EAA" w14:paraId="2E755D4E" w14:textId="77777777" w:rsidTr="00882A5B">
        <w:tc>
          <w:tcPr>
            <w:tcW w:w="6232" w:type="dxa"/>
          </w:tcPr>
          <w:p w14:paraId="6354075D" w14:textId="77777777" w:rsidR="00CA72E5" w:rsidRPr="003858D3" w:rsidRDefault="00CA72E5" w:rsidP="00B16B49">
            <w:pPr>
              <w:rPr>
                <w:rStyle w:val="eop"/>
                <w:rFonts w:cstheme="minorHAnsi"/>
                <w:color w:val="auto"/>
              </w:rPr>
            </w:pPr>
            <w:r w:rsidRPr="003858D3">
              <w:rPr>
                <w:rStyle w:val="eop"/>
                <w:rFonts w:cstheme="minorHAnsi"/>
                <w:color w:val="auto"/>
              </w:rPr>
              <w:t>Australian Infrastructure Financing Facility for the Pacific (AIFFP)’s objective is to advance Australia’s national interest by contributing to a stable, secure and prosperous Pacific.</w:t>
            </w:r>
          </w:p>
        </w:tc>
        <w:tc>
          <w:tcPr>
            <w:tcW w:w="3624" w:type="dxa"/>
          </w:tcPr>
          <w:p w14:paraId="29AB5F57" w14:textId="77777777" w:rsidR="00CA72E5" w:rsidRPr="003858D3" w:rsidRDefault="00CA72E5" w:rsidP="00B16B49">
            <w:pPr>
              <w:jc w:val="center"/>
              <w:rPr>
                <w:rStyle w:val="eop"/>
                <w:rFonts w:cstheme="minorHAnsi"/>
                <w:color w:val="auto"/>
              </w:rPr>
            </w:pPr>
            <w:r w:rsidRPr="003858D3">
              <w:rPr>
                <w:rStyle w:val="eop"/>
                <w:rFonts w:cstheme="minorHAnsi"/>
                <w:color w:val="auto"/>
              </w:rPr>
              <w:t>July 2019</w:t>
            </w:r>
          </w:p>
        </w:tc>
      </w:tr>
      <w:tr w:rsidR="00CA72E5" w:rsidRPr="00F60EAA" w14:paraId="2C191317" w14:textId="77777777" w:rsidTr="00882A5B">
        <w:tc>
          <w:tcPr>
            <w:tcW w:w="6232" w:type="dxa"/>
          </w:tcPr>
          <w:p w14:paraId="678944DD" w14:textId="77777777" w:rsidR="00CA72E5" w:rsidRPr="003858D3" w:rsidRDefault="00CA72E5" w:rsidP="00B16B49">
            <w:pPr>
              <w:rPr>
                <w:rStyle w:val="eop"/>
                <w:rFonts w:cstheme="minorHAnsi"/>
                <w:color w:val="auto"/>
              </w:rPr>
            </w:pPr>
            <w:r w:rsidRPr="003858D3">
              <w:rPr>
                <w:rStyle w:val="eop"/>
                <w:rFonts w:cstheme="minorHAnsi"/>
                <w:color w:val="auto"/>
              </w:rPr>
              <w:t>The Australian Renewable Energy Agency was established to increase the supply of renewable energy in Australia.</w:t>
            </w:r>
            <w:r w:rsidRPr="003858D3">
              <w:rPr>
                <w:rFonts w:cstheme="minorHAnsi"/>
                <w:color w:val="auto"/>
                <w:shd w:val="clear" w:color="auto" w:fill="FFFFFF"/>
              </w:rPr>
              <w:t xml:space="preserve"> </w:t>
            </w:r>
          </w:p>
        </w:tc>
        <w:tc>
          <w:tcPr>
            <w:tcW w:w="3624" w:type="dxa"/>
          </w:tcPr>
          <w:p w14:paraId="1823AFB9" w14:textId="77777777" w:rsidR="00CA72E5" w:rsidRPr="003858D3" w:rsidRDefault="00CA72E5" w:rsidP="00B16B49">
            <w:pPr>
              <w:jc w:val="center"/>
              <w:rPr>
                <w:rStyle w:val="eop"/>
                <w:rFonts w:cstheme="minorHAnsi"/>
                <w:color w:val="auto"/>
              </w:rPr>
            </w:pPr>
            <w:r w:rsidRPr="003858D3">
              <w:rPr>
                <w:rStyle w:val="eop"/>
                <w:rFonts w:cstheme="minorHAnsi"/>
                <w:color w:val="auto"/>
              </w:rPr>
              <w:t>1 July 2012</w:t>
            </w:r>
          </w:p>
        </w:tc>
      </w:tr>
      <w:tr w:rsidR="00CA72E5" w:rsidRPr="00F60EAA" w14:paraId="01DD168A" w14:textId="77777777" w:rsidTr="00882A5B">
        <w:tc>
          <w:tcPr>
            <w:tcW w:w="6232" w:type="dxa"/>
          </w:tcPr>
          <w:p w14:paraId="58FE2CC0" w14:textId="77777777" w:rsidR="00CA72E5" w:rsidRPr="00FE41B9" w:rsidRDefault="00CA72E5" w:rsidP="00FE41B9">
            <w:pPr>
              <w:rPr>
                <w:rStyle w:val="eop"/>
                <w:rFonts w:cstheme="minorHAnsi"/>
                <w:color w:val="auto"/>
              </w:rPr>
            </w:pPr>
            <w:r w:rsidRPr="00FE41B9">
              <w:rPr>
                <w:rStyle w:val="eop"/>
                <w:rFonts w:cstheme="minorHAnsi"/>
                <w:color w:val="auto"/>
              </w:rPr>
              <w:t xml:space="preserve">The Clean Energy Finance Corporation </w:t>
            </w:r>
            <w:r w:rsidRPr="00FE41B9">
              <w:rPr>
                <w:rStyle w:val="eop"/>
                <w:color w:val="auto"/>
              </w:rPr>
              <w:t>was established to facilitate increased flows of finance into the clean energy sector and to achieve Australia’s greenhouse gas emissions reduction targets.</w:t>
            </w:r>
          </w:p>
        </w:tc>
        <w:tc>
          <w:tcPr>
            <w:tcW w:w="3624" w:type="dxa"/>
          </w:tcPr>
          <w:p w14:paraId="2A07A1F6" w14:textId="77777777" w:rsidR="00CA72E5" w:rsidRPr="003858D3" w:rsidRDefault="00CA72E5" w:rsidP="00B16B49">
            <w:pPr>
              <w:jc w:val="center"/>
              <w:rPr>
                <w:rStyle w:val="eop"/>
                <w:rFonts w:cstheme="minorHAnsi"/>
                <w:color w:val="auto"/>
              </w:rPr>
            </w:pPr>
            <w:r w:rsidRPr="003858D3">
              <w:rPr>
                <w:rStyle w:val="eop"/>
                <w:rFonts w:cstheme="minorHAnsi"/>
                <w:color w:val="auto"/>
              </w:rPr>
              <w:t>3 August 2012</w:t>
            </w:r>
          </w:p>
        </w:tc>
      </w:tr>
      <w:tr w:rsidR="00CA72E5" w:rsidRPr="00F60EAA" w14:paraId="19EBAF58" w14:textId="77777777" w:rsidTr="00882A5B">
        <w:tc>
          <w:tcPr>
            <w:tcW w:w="6232" w:type="dxa"/>
          </w:tcPr>
          <w:p w14:paraId="19B65A24" w14:textId="77777777" w:rsidR="00CA72E5" w:rsidRPr="003858D3" w:rsidRDefault="00CA72E5" w:rsidP="00B16B49">
            <w:pPr>
              <w:rPr>
                <w:rStyle w:val="eop"/>
                <w:rFonts w:cstheme="minorHAnsi"/>
                <w:color w:val="auto"/>
              </w:rPr>
            </w:pPr>
            <w:r w:rsidRPr="003858D3">
              <w:rPr>
                <w:rStyle w:val="eop"/>
                <w:rFonts w:cstheme="minorHAnsi"/>
                <w:color w:val="auto"/>
              </w:rPr>
              <w:t xml:space="preserve">Export Finance Australia (EFA) is the Australian Government’s export credit agency. EFA’s purpose is to support Australian export trade and overseas infrastructure development that benefits Australia. </w:t>
            </w:r>
          </w:p>
        </w:tc>
        <w:tc>
          <w:tcPr>
            <w:tcW w:w="3624" w:type="dxa"/>
          </w:tcPr>
          <w:p w14:paraId="03ACDECA" w14:textId="77777777" w:rsidR="00CA72E5" w:rsidRPr="003858D3" w:rsidRDefault="00CA72E5" w:rsidP="00B16B49">
            <w:pPr>
              <w:jc w:val="center"/>
              <w:rPr>
                <w:rStyle w:val="eop"/>
                <w:rFonts w:cstheme="minorHAnsi"/>
                <w:color w:val="auto"/>
              </w:rPr>
            </w:pPr>
            <w:r w:rsidRPr="003858D3">
              <w:rPr>
                <w:rStyle w:val="eop"/>
                <w:rFonts w:cstheme="minorHAnsi"/>
                <w:color w:val="auto"/>
              </w:rPr>
              <w:t>1 November 1991</w:t>
            </w:r>
          </w:p>
        </w:tc>
      </w:tr>
      <w:tr w:rsidR="00CA72E5" w:rsidRPr="00F60EAA" w14:paraId="00CC2283" w14:textId="77777777" w:rsidTr="00882A5B">
        <w:tc>
          <w:tcPr>
            <w:tcW w:w="6232" w:type="dxa"/>
          </w:tcPr>
          <w:p w14:paraId="01B29325" w14:textId="77777777" w:rsidR="00CA72E5" w:rsidRPr="003858D3" w:rsidRDefault="00CA72E5" w:rsidP="00B16B49">
            <w:pPr>
              <w:rPr>
                <w:rStyle w:val="eop"/>
                <w:rFonts w:cstheme="minorHAnsi"/>
                <w:color w:val="auto"/>
              </w:rPr>
            </w:pPr>
            <w:r w:rsidRPr="003858D3">
              <w:rPr>
                <w:rStyle w:val="eop"/>
                <w:rFonts w:cstheme="minorHAnsi"/>
                <w:color w:val="auto"/>
              </w:rPr>
              <w:t xml:space="preserve">Housing Australia (formerly National Housing Finance and Investment Corporation) was established to </w:t>
            </w:r>
            <w:r w:rsidRPr="003858D3">
              <w:rPr>
                <w:rFonts w:cstheme="minorHAnsi"/>
                <w:color w:val="auto"/>
                <w:shd w:val="clear" w:color="auto" w:fill="FFFFFF"/>
              </w:rPr>
              <w:t>make loans and grants to, directly or indirectly, improve housing outcomes.</w:t>
            </w:r>
          </w:p>
        </w:tc>
        <w:tc>
          <w:tcPr>
            <w:tcW w:w="3624" w:type="dxa"/>
          </w:tcPr>
          <w:p w14:paraId="3AC3B38E" w14:textId="77777777" w:rsidR="00CA72E5" w:rsidRPr="003858D3" w:rsidRDefault="00CA72E5" w:rsidP="00B16B49">
            <w:pPr>
              <w:jc w:val="center"/>
              <w:rPr>
                <w:rStyle w:val="eop"/>
                <w:rFonts w:cstheme="minorHAnsi"/>
                <w:color w:val="auto"/>
              </w:rPr>
            </w:pPr>
            <w:r w:rsidRPr="003858D3">
              <w:rPr>
                <w:rStyle w:val="eop"/>
                <w:rFonts w:cstheme="minorHAnsi"/>
                <w:color w:val="auto"/>
              </w:rPr>
              <w:t>30 June 2018</w:t>
            </w:r>
          </w:p>
        </w:tc>
      </w:tr>
      <w:tr w:rsidR="00CA72E5" w:rsidRPr="00F60EAA" w14:paraId="017A75A6" w14:textId="77777777" w:rsidTr="00882A5B">
        <w:tc>
          <w:tcPr>
            <w:tcW w:w="6232" w:type="dxa"/>
          </w:tcPr>
          <w:p w14:paraId="3254B07E" w14:textId="77777777" w:rsidR="00CA72E5" w:rsidRPr="003858D3" w:rsidRDefault="00CA72E5" w:rsidP="00B16B49">
            <w:pPr>
              <w:rPr>
                <w:rStyle w:val="eop"/>
                <w:rFonts w:cstheme="minorHAnsi"/>
                <w:color w:val="auto"/>
              </w:rPr>
            </w:pPr>
            <w:r w:rsidRPr="003858D3">
              <w:rPr>
                <w:rFonts w:cstheme="minorHAnsi"/>
                <w:color w:val="auto"/>
                <w:shd w:val="clear" w:color="auto" w:fill="FFFFFF"/>
              </w:rPr>
              <w:t>The National Reconstruction Fund Corporation (NRFC) was established to diversify and transform Australia’s industry and economy to secure future prosperity and drive sustainable economic growth.</w:t>
            </w:r>
          </w:p>
        </w:tc>
        <w:tc>
          <w:tcPr>
            <w:tcW w:w="3624" w:type="dxa"/>
          </w:tcPr>
          <w:p w14:paraId="76038E63" w14:textId="77777777" w:rsidR="00CA72E5" w:rsidRPr="003858D3" w:rsidRDefault="00CA72E5" w:rsidP="00B16B49">
            <w:pPr>
              <w:jc w:val="center"/>
              <w:rPr>
                <w:rStyle w:val="eop"/>
                <w:rFonts w:cstheme="minorHAnsi"/>
                <w:color w:val="auto"/>
              </w:rPr>
            </w:pPr>
            <w:r w:rsidRPr="003858D3">
              <w:rPr>
                <w:rStyle w:val="eop"/>
                <w:rFonts w:cstheme="minorHAnsi"/>
                <w:color w:val="auto"/>
              </w:rPr>
              <w:t>18 September 2023</w:t>
            </w:r>
          </w:p>
        </w:tc>
      </w:tr>
      <w:tr w:rsidR="00CA72E5" w:rsidRPr="00F60EAA" w14:paraId="45DCD280" w14:textId="77777777" w:rsidTr="00882A5B">
        <w:tc>
          <w:tcPr>
            <w:tcW w:w="6232" w:type="dxa"/>
          </w:tcPr>
          <w:p w14:paraId="52001EF8" w14:textId="77777777" w:rsidR="00CA72E5" w:rsidRPr="003858D3" w:rsidRDefault="00CA72E5" w:rsidP="00B16B49">
            <w:pPr>
              <w:rPr>
                <w:rStyle w:val="eop"/>
                <w:rFonts w:cstheme="minorHAnsi"/>
                <w:color w:val="auto"/>
              </w:rPr>
            </w:pPr>
            <w:r w:rsidRPr="003858D3">
              <w:rPr>
                <w:rFonts w:cstheme="minorHAnsi"/>
                <w:color w:val="auto"/>
                <w:shd w:val="clear" w:color="auto" w:fill="FFFFFF"/>
              </w:rPr>
              <w:t>The Northern Australia Infrastructure Facility (NAIF) was established to stimulate economic growth by attracting private investment, fostering infrastructure development and supporting various industries in Northern Australia.</w:t>
            </w:r>
          </w:p>
        </w:tc>
        <w:tc>
          <w:tcPr>
            <w:tcW w:w="3624" w:type="dxa"/>
          </w:tcPr>
          <w:p w14:paraId="69B0FCBD" w14:textId="77777777" w:rsidR="00CA72E5" w:rsidRPr="003858D3" w:rsidRDefault="00CA72E5" w:rsidP="00B16B49">
            <w:pPr>
              <w:jc w:val="center"/>
              <w:rPr>
                <w:rStyle w:val="eop"/>
                <w:rFonts w:cstheme="minorHAnsi"/>
                <w:color w:val="auto"/>
              </w:rPr>
            </w:pPr>
            <w:r w:rsidRPr="003858D3">
              <w:rPr>
                <w:rStyle w:val="eop"/>
                <w:rFonts w:cstheme="minorHAnsi"/>
                <w:color w:val="auto"/>
              </w:rPr>
              <w:t>1 July 2016</w:t>
            </w:r>
          </w:p>
        </w:tc>
      </w:tr>
      <w:tr w:rsidR="00CA72E5" w:rsidRPr="00F60EAA" w14:paraId="2D918C76" w14:textId="77777777" w:rsidTr="00882A5B">
        <w:tc>
          <w:tcPr>
            <w:tcW w:w="6232" w:type="dxa"/>
          </w:tcPr>
          <w:p w14:paraId="43844B4C" w14:textId="77777777" w:rsidR="00CA72E5" w:rsidRPr="003858D3" w:rsidRDefault="00CA72E5" w:rsidP="00B16B49">
            <w:pPr>
              <w:rPr>
                <w:rFonts w:cstheme="minorHAnsi"/>
                <w:color w:val="auto"/>
                <w:shd w:val="clear" w:color="auto" w:fill="FFFFFF"/>
              </w:rPr>
            </w:pPr>
            <w:r w:rsidRPr="003858D3">
              <w:rPr>
                <w:rFonts w:cstheme="minorHAnsi"/>
                <w:color w:val="auto"/>
                <w:shd w:val="clear" w:color="auto" w:fill="FFFFFF"/>
              </w:rPr>
              <w:t>The Regional Investment Corporation (RIC) was established to support the growth, resilience and sustainability of Australia’s agricultural economy on behalf of the Australian Government.</w:t>
            </w:r>
          </w:p>
        </w:tc>
        <w:tc>
          <w:tcPr>
            <w:tcW w:w="3624" w:type="dxa"/>
          </w:tcPr>
          <w:p w14:paraId="4549716F" w14:textId="77777777" w:rsidR="00CA72E5" w:rsidRPr="003858D3" w:rsidRDefault="00CA72E5" w:rsidP="00B16B49">
            <w:pPr>
              <w:jc w:val="center"/>
              <w:rPr>
                <w:rStyle w:val="eop"/>
                <w:rFonts w:cstheme="minorHAnsi"/>
                <w:color w:val="auto"/>
              </w:rPr>
            </w:pPr>
            <w:r w:rsidRPr="003858D3">
              <w:rPr>
                <w:rStyle w:val="eop"/>
                <w:rFonts w:cstheme="minorHAnsi"/>
                <w:color w:val="auto"/>
              </w:rPr>
              <w:t>1 July 2018</w:t>
            </w:r>
          </w:p>
        </w:tc>
      </w:tr>
    </w:tbl>
    <w:p w14:paraId="43C65C3D" w14:textId="77777777" w:rsidR="00CA72E5" w:rsidRDefault="00CA72E5" w:rsidP="00CA72E5">
      <w:pPr>
        <w:jc w:val="center"/>
        <w:rPr>
          <w:rStyle w:val="eop"/>
          <w:b/>
          <w:color w:val="auto"/>
          <w:sz w:val="24"/>
        </w:rPr>
      </w:pPr>
    </w:p>
    <w:p w14:paraId="2BCD740B" w14:textId="77777777" w:rsidR="00CA72E5" w:rsidRDefault="00CA72E5" w:rsidP="00CA72E5">
      <w:pPr>
        <w:rPr>
          <w:rStyle w:val="eop"/>
          <w:b/>
          <w:color w:val="auto"/>
          <w:sz w:val="24"/>
        </w:rPr>
      </w:pPr>
    </w:p>
    <w:p w14:paraId="03E98259" w14:textId="77777777" w:rsidR="00CA72E5" w:rsidRDefault="00CA72E5" w:rsidP="00CA72E5">
      <w:pPr>
        <w:rPr>
          <w:rStyle w:val="eop"/>
          <w:b/>
          <w:color w:val="auto"/>
          <w:sz w:val="24"/>
        </w:rPr>
      </w:pPr>
      <w:r>
        <w:rPr>
          <w:rStyle w:val="eop"/>
          <w:b/>
          <w:color w:val="auto"/>
          <w:sz w:val="24"/>
        </w:rPr>
        <w:br w:type="page"/>
      </w:r>
    </w:p>
    <w:p w14:paraId="303A3439" w14:textId="77777777" w:rsidR="00CA72E5" w:rsidRPr="00EE16C6" w:rsidRDefault="00CA72E5" w:rsidP="00CA72E5">
      <w:pPr>
        <w:pStyle w:val="ListParagraph"/>
        <w:ind w:left="7143" w:firstLine="354"/>
        <w:rPr>
          <w:rStyle w:val="eop"/>
          <w:color w:val="auto"/>
        </w:rPr>
      </w:pPr>
      <w:r>
        <w:rPr>
          <w:rStyle w:val="eop"/>
          <w:b/>
          <w:color w:val="auto"/>
          <w:sz w:val="24"/>
        </w:rPr>
        <w:lastRenderedPageBreak/>
        <w:t>ATTACHMENT B</w:t>
      </w:r>
    </w:p>
    <w:p w14:paraId="43F248C5" w14:textId="77777777" w:rsidR="00CA72E5" w:rsidRDefault="00CA72E5" w:rsidP="00CA72E5">
      <w:pPr>
        <w:ind w:left="360"/>
        <w:jc w:val="center"/>
        <w:rPr>
          <w:rStyle w:val="eop"/>
          <w:b/>
          <w:color w:val="auto"/>
          <w:sz w:val="24"/>
        </w:rPr>
      </w:pPr>
      <w:r>
        <w:rPr>
          <w:rStyle w:val="eop"/>
          <w:b/>
          <w:color w:val="auto"/>
          <w:sz w:val="24"/>
        </w:rPr>
        <w:t xml:space="preserve">Current SIV </w:t>
      </w:r>
      <w:r w:rsidRPr="00A57515">
        <w:rPr>
          <w:rStyle w:val="eop"/>
          <w:b/>
          <w:color w:val="auto"/>
          <w:sz w:val="24"/>
        </w:rPr>
        <w:t>mandates</w:t>
      </w:r>
    </w:p>
    <w:p w14:paraId="40DE9425" w14:textId="77777777" w:rsidR="00CA72E5" w:rsidRDefault="00CA72E5" w:rsidP="00CA72E5">
      <w:pPr>
        <w:rPr>
          <w:color w:val="auto"/>
        </w:rPr>
      </w:pPr>
      <w:r w:rsidRPr="00A57515">
        <w:rPr>
          <w:color w:val="auto"/>
        </w:rPr>
        <w:t xml:space="preserve">The table below is a high-level and approximate overview of the coverage of current SIV investment mandates. It is important to note that these mandates were established </w:t>
      </w:r>
      <w:r>
        <w:rPr>
          <w:color w:val="auto"/>
        </w:rPr>
        <w:t xml:space="preserve">for specific policy objectives. </w:t>
      </w:r>
    </w:p>
    <w:p w14:paraId="35E61C78" w14:textId="77777777" w:rsidR="00CA72E5" w:rsidRDefault="00CA72E5" w:rsidP="00CA72E5">
      <w:pPr>
        <w:rPr>
          <w:color w:val="auto"/>
        </w:rPr>
      </w:pPr>
    </w:p>
    <w:tbl>
      <w:tblPr>
        <w:tblStyle w:val="TableGrid"/>
        <w:tblW w:w="5000" w:type="pct"/>
        <w:tblLook w:val="06A0" w:firstRow="1" w:lastRow="0" w:firstColumn="1" w:lastColumn="0" w:noHBand="1" w:noVBand="1"/>
        <w:tblCaption w:val="Current SIV mandates"/>
        <w:tblDescription w:val="A table designating what areas are covered by each SIV."/>
      </w:tblPr>
      <w:tblGrid>
        <w:gridCol w:w="4374"/>
        <w:gridCol w:w="1096"/>
        <w:gridCol w:w="1096"/>
        <w:gridCol w:w="1096"/>
        <w:gridCol w:w="1096"/>
        <w:gridCol w:w="1098"/>
      </w:tblGrid>
      <w:tr w:rsidR="00CA72E5" w:rsidRPr="001700FE" w14:paraId="55164676" w14:textId="77777777" w:rsidTr="00882A5B">
        <w:trPr>
          <w:trHeight w:val="300"/>
          <w:tblHeader/>
        </w:trPr>
        <w:tc>
          <w:tcPr>
            <w:tcW w:w="2219" w:type="pct"/>
            <w:vAlign w:val="center"/>
          </w:tcPr>
          <w:p w14:paraId="57DEF6F1" w14:textId="77777777" w:rsidR="00CA72E5" w:rsidRPr="001700FE" w:rsidRDefault="00CA72E5" w:rsidP="00B16B49"/>
        </w:tc>
        <w:tc>
          <w:tcPr>
            <w:tcW w:w="556" w:type="pct"/>
            <w:vAlign w:val="center"/>
          </w:tcPr>
          <w:p w14:paraId="1FB4631B" w14:textId="77777777" w:rsidR="00CA72E5" w:rsidRPr="00171586" w:rsidRDefault="00CA72E5" w:rsidP="00B16B49">
            <w:pPr>
              <w:jc w:val="center"/>
              <w:rPr>
                <w:b/>
              </w:rPr>
            </w:pPr>
            <w:r w:rsidRPr="00171586">
              <w:rPr>
                <w:b/>
              </w:rPr>
              <w:t>ARENA</w:t>
            </w:r>
          </w:p>
        </w:tc>
        <w:tc>
          <w:tcPr>
            <w:tcW w:w="556" w:type="pct"/>
            <w:vAlign w:val="center"/>
          </w:tcPr>
          <w:p w14:paraId="664AB755" w14:textId="77777777" w:rsidR="00CA72E5" w:rsidRPr="00171586" w:rsidRDefault="00CA72E5" w:rsidP="00B16B49">
            <w:pPr>
              <w:jc w:val="center"/>
              <w:rPr>
                <w:b/>
              </w:rPr>
            </w:pPr>
            <w:r w:rsidRPr="00171586">
              <w:rPr>
                <w:b/>
              </w:rPr>
              <w:t>CEFC</w:t>
            </w:r>
          </w:p>
        </w:tc>
        <w:tc>
          <w:tcPr>
            <w:tcW w:w="556" w:type="pct"/>
            <w:vAlign w:val="center"/>
          </w:tcPr>
          <w:p w14:paraId="5B681E61" w14:textId="77777777" w:rsidR="00CA72E5" w:rsidRPr="00171586" w:rsidRDefault="00CA72E5" w:rsidP="00B16B49">
            <w:pPr>
              <w:jc w:val="center"/>
              <w:rPr>
                <w:b/>
              </w:rPr>
            </w:pPr>
            <w:r w:rsidRPr="00171586">
              <w:rPr>
                <w:b/>
              </w:rPr>
              <w:t>EFA</w:t>
            </w:r>
          </w:p>
        </w:tc>
        <w:tc>
          <w:tcPr>
            <w:tcW w:w="556" w:type="pct"/>
            <w:vAlign w:val="center"/>
          </w:tcPr>
          <w:p w14:paraId="44625BA9" w14:textId="77777777" w:rsidR="00CA72E5" w:rsidRPr="00171586" w:rsidRDefault="00CA72E5" w:rsidP="00B16B49">
            <w:pPr>
              <w:jc w:val="center"/>
              <w:rPr>
                <w:b/>
              </w:rPr>
            </w:pPr>
            <w:r w:rsidRPr="00171586">
              <w:rPr>
                <w:b/>
              </w:rPr>
              <w:t>NAIF</w:t>
            </w:r>
          </w:p>
        </w:tc>
        <w:tc>
          <w:tcPr>
            <w:tcW w:w="557" w:type="pct"/>
            <w:vAlign w:val="center"/>
          </w:tcPr>
          <w:p w14:paraId="0C6335DE" w14:textId="77777777" w:rsidR="00CA72E5" w:rsidRPr="00171586" w:rsidRDefault="00CA72E5" w:rsidP="00B16B49">
            <w:pPr>
              <w:jc w:val="center"/>
              <w:rPr>
                <w:b/>
              </w:rPr>
            </w:pPr>
            <w:r w:rsidRPr="00171586">
              <w:rPr>
                <w:b/>
              </w:rPr>
              <w:t>NRF</w:t>
            </w:r>
          </w:p>
        </w:tc>
      </w:tr>
      <w:tr w:rsidR="00CA72E5" w:rsidRPr="00562A5A" w14:paraId="17E299C0" w14:textId="77777777" w:rsidTr="00B16B49">
        <w:trPr>
          <w:trHeight w:val="300"/>
        </w:trPr>
        <w:tc>
          <w:tcPr>
            <w:tcW w:w="2219" w:type="pct"/>
            <w:shd w:val="clear" w:color="auto" w:fill="D6E6FF" w:themeFill="text2" w:themeFillTint="1A"/>
            <w:vAlign w:val="center"/>
          </w:tcPr>
          <w:p w14:paraId="5299FB47" w14:textId="77777777" w:rsidR="00CA72E5" w:rsidRPr="00562A5A" w:rsidRDefault="00CA72E5" w:rsidP="00B16B49">
            <w:pPr>
              <w:rPr>
                <w:b/>
              </w:rPr>
            </w:pPr>
            <w:r w:rsidRPr="00562A5A">
              <w:rPr>
                <w:rFonts w:eastAsia="Aptos"/>
                <w:b/>
              </w:rPr>
              <w:t>Sector</w:t>
            </w:r>
          </w:p>
        </w:tc>
        <w:tc>
          <w:tcPr>
            <w:tcW w:w="556" w:type="pct"/>
            <w:shd w:val="clear" w:color="auto" w:fill="D6E6FF" w:themeFill="text2" w:themeFillTint="1A"/>
            <w:vAlign w:val="center"/>
          </w:tcPr>
          <w:p w14:paraId="7849A789" w14:textId="77777777" w:rsidR="00CA72E5" w:rsidRPr="00562A5A" w:rsidRDefault="00CA72E5" w:rsidP="00B16B49">
            <w:pPr>
              <w:jc w:val="center"/>
              <w:rPr>
                <w:b/>
              </w:rPr>
            </w:pPr>
          </w:p>
        </w:tc>
        <w:tc>
          <w:tcPr>
            <w:tcW w:w="556" w:type="pct"/>
            <w:shd w:val="clear" w:color="auto" w:fill="D6E6FF" w:themeFill="text2" w:themeFillTint="1A"/>
            <w:vAlign w:val="center"/>
          </w:tcPr>
          <w:p w14:paraId="3CAD1D51" w14:textId="77777777" w:rsidR="00CA72E5" w:rsidRPr="00562A5A" w:rsidRDefault="00CA72E5" w:rsidP="00B16B49">
            <w:pPr>
              <w:jc w:val="center"/>
              <w:rPr>
                <w:b/>
              </w:rPr>
            </w:pPr>
          </w:p>
        </w:tc>
        <w:tc>
          <w:tcPr>
            <w:tcW w:w="556" w:type="pct"/>
            <w:shd w:val="clear" w:color="auto" w:fill="D6E6FF" w:themeFill="text2" w:themeFillTint="1A"/>
            <w:vAlign w:val="center"/>
          </w:tcPr>
          <w:p w14:paraId="584A91A7" w14:textId="77777777" w:rsidR="00CA72E5" w:rsidRPr="00562A5A" w:rsidRDefault="00CA72E5" w:rsidP="00B16B49">
            <w:pPr>
              <w:jc w:val="center"/>
              <w:rPr>
                <w:b/>
              </w:rPr>
            </w:pPr>
          </w:p>
        </w:tc>
        <w:tc>
          <w:tcPr>
            <w:tcW w:w="556" w:type="pct"/>
            <w:shd w:val="clear" w:color="auto" w:fill="D6E6FF" w:themeFill="text2" w:themeFillTint="1A"/>
            <w:vAlign w:val="center"/>
          </w:tcPr>
          <w:p w14:paraId="3FC29CB8" w14:textId="77777777" w:rsidR="00CA72E5" w:rsidRPr="00562A5A" w:rsidRDefault="00CA72E5" w:rsidP="00B16B49">
            <w:pPr>
              <w:jc w:val="center"/>
              <w:rPr>
                <w:b/>
              </w:rPr>
            </w:pPr>
          </w:p>
        </w:tc>
        <w:tc>
          <w:tcPr>
            <w:tcW w:w="557" w:type="pct"/>
            <w:shd w:val="clear" w:color="auto" w:fill="D6E6FF" w:themeFill="text2" w:themeFillTint="1A"/>
            <w:vAlign w:val="center"/>
          </w:tcPr>
          <w:p w14:paraId="28030BA6" w14:textId="77777777" w:rsidR="00CA72E5" w:rsidRPr="00562A5A" w:rsidRDefault="00CA72E5" w:rsidP="00B16B49">
            <w:pPr>
              <w:jc w:val="center"/>
              <w:rPr>
                <w:b/>
              </w:rPr>
            </w:pPr>
          </w:p>
        </w:tc>
      </w:tr>
      <w:tr w:rsidR="00CA72E5" w:rsidRPr="001700FE" w14:paraId="78C57065" w14:textId="77777777" w:rsidTr="00B16B49">
        <w:trPr>
          <w:trHeight w:val="300"/>
        </w:trPr>
        <w:tc>
          <w:tcPr>
            <w:tcW w:w="2219" w:type="pct"/>
            <w:vAlign w:val="center"/>
          </w:tcPr>
          <w:p w14:paraId="6B31284C" w14:textId="77777777" w:rsidR="00CA72E5" w:rsidRPr="001700FE" w:rsidRDefault="00CA72E5" w:rsidP="00B16B49">
            <w:r w:rsidRPr="001700FE">
              <w:rPr>
                <w:rFonts w:eastAsia="Aptos"/>
              </w:rPr>
              <w:t>Clean energy</w:t>
            </w:r>
          </w:p>
        </w:tc>
        <w:tc>
          <w:tcPr>
            <w:tcW w:w="556" w:type="pct"/>
            <w:shd w:val="clear" w:color="auto" w:fill="DAFCFF" w:themeFill="accent6" w:themeFillTint="33"/>
            <w:vAlign w:val="center"/>
          </w:tcPr>
          <w:p w14:paraId="57E3EBBC"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5DD77C83"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2ED0990A"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138BDA3F" w14:textId="77777777" w:rsidR="00CA72E5" w:rsidRPr="00171586" w:rsidRDefault="00CA72E5" w:rsidP="00B16B49">
            <w:pPr>
              <w:jc w:val="center"/>
              <w:rPr>
                <w:b/>
              </w:rPr>
            </w:pPr>
            <w:r w:rsidRPr="00171586">
              <w:rPr>
                <w:rFonts w:ascii="Segoe UI Symbol" w:hAnsi="Segoe UI Symbol" w:cs="Segoe UI Symbol"/>
                <w:b/>
              </w:rPr>
              <w:t>✓</w:t>
            </w:r>
          </w:p>
        </w:tc>
        <w:tc>
          <w:tcPr>
            <w:tcW w:w="557" w:type="pct"/>
            <w:shd w:val="clear" w:color="auto" w:fill="DAFCFF" w:themeFill="accent6" w:themeFillTint="33"/>
            <w:vAlign w:val="center"/>
          </w:tcPr>
          <w:p w14:paraId="77404C8B" w14:textId="77777777" w:rsidR="00CA72E5" w:rsidRPr="00171586" w:rsidRDefault="00CA72E5" w:rsidP="00B16B49">
            <w:pPr>
              <w:jc w:val="center"/>
              <w:rPr>
                <w:b/>
              </w:rPr>
            </w:pPr>
            <w:r w:rsidRPr="00171586">
              <w:rPr>
                <w:rFonts w:ascii="Segoe UI Symbol" w:hAnsi="Segoe UI Symbol" w:cs="Segoe UI Symbol"/>
                <w:b/>
              </w:rPr>
              <w:t>✓</w:t>
            </w:r>
          </w:p>
        </w:tc>
      </w:tr>
      <w:tr w:rsidR="00CA72E5" w:rsidRPr="001700FE" w14:paraId="4BA5F875" w14:textId="77777777" w:rsidTr="00B16B49">
        <w:trPr>
          <w:trHeight w:val="300"/>
        </w:trPr>
        <w:tc>
          <w:tcPr>
            <w:tcW w:w="2219" w:type="pct"/>
            <w:vAlign w:val="center"/>
          </w:tcPr>
          <w:p w14:paraId="4975D54B" w14:textId="77777777" w:rsidR="00CA72E5" w:rsidRPr="001700FE" w:rsidRDefault="00CA72E5" w:rsidP="00B16B49">
            <w:r w:rsidRPr="001700FE">
              <w:rPr>
                <w:rFonts w:eastAsia="Aptos"/>
              </w:rPr>
              <w:t>Circular economy</w:t>
            </w:r>
          </w:p>
        </w:tc>
        <w:tc>
          <w:tcPr>
            <w:tcW w:w="556" w:type="pct"/>
            <w:shd w:val="clear" w:color="auto" w:fill="DAFCFF" w:themeFill="accent6" w:themeFillTint="33"/>
            <w:vAlign w:val="center"/>
          </w:tcPr>
          <w:p w14:paraId="488468CD"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1AB5500D" w14:textId="77777777" w:rsidR="00CA72E5" w:rsidRPr="00171586" w:rsidRDefault="00CA72E5" w:rsidP="00B16B49">
            <w:pPr>
              <w:jc w:val="center"/>
              <w:rPr>
                <w:b/>
              </w:rPr>
            </w:pPr>
            <w:r w:rsidRPr="00171586">
              <w:rPr>
                <w:rFonts w:ascii="Segoe UI Symbol" w:hAnsi="Segoe UI Symbol" w:cs="Segoe UI Symbol"/>
                <w:b/>
              </w:rPr>
              <w:t>✓</w:t>
            </w:r>
          </w:p>
        </w:tc>
        <w:tc>
          <w:tcPr>
            <w:tcW w:w="556" w:type="pct"/>
            <w:vAlign w:val="center"/>
          </w:tcPr>
          <w:p w14:paraId="38CCB274" w14:textId="77777777" w:rsidR="00CA72E5" w:rsidRPr="00171586" w:rsidRDefault="00CA72E5" w:rsidP="00B16B49">
            <w:pPr>
              <w:jc w:val="center"/>
              <w:rPr>
                <w:b/>
              </w:rPr>
            </w:pPr>
          </w:p>
        </w:tc>
        <w:tc>
          <w:tcPr>
            <w:tcW w:w="556" w:type="pct"/>
            <w:vAlign w:val="center"/>
          </w:tcPr>
          <w:p w14:paraId="1FE6DAAB" w14:textId="77777777" w:rsidR="00CA72E5" w:rsidRPr="00171586" w:rsidRDefault="00CA72E5" w:rsidP="00B16B49">
            <w:pPr>
              <w:jc w:val="center"/>
              <w:rPr>
                <w:b/>
              </w:rPr>
            </w:pPr>
          </w:p>
        </w:tc>
        <w:tc>
          <w:tcPr>
            <w:tcW w:w="557" w:type="pct"/>
            <w:shd w:val="clear" w:color="auto" w:fill="DAFCFF" w:themeFill="accent6" w:themeFillTint="33"/>
            <w:vAlign w:val="center"/>
          </w:tcPr>
          <w:p w14:paraId="765F9361" w14:textId="77777777" w:rsidR="00CA72E5" w:rsidRPr="00171586" w:rsidRDefault="00CA72E5" w:rsidP="00B16B49">
            <w:pPr>
              <w:jc w:val="center"/>
              <w:rPr>
                <w:b/>
              </w:rPr>
            </w:pPr>
            <w:r w:rsidRPr="00171586">
              <w:rPr>
                <w:rFonts w:ascii="Segoe UI Symbol" w:hAnsi="Segoe UI Symbol" w:cs="Segoe UI Symbol"/>
                <w:b/>
              </w:rPr>
              <w:t>✓</w:t>
            </w:r>
          </w:p>
        </w:tc>
      </w:tr>
      <w:tr w:rsidR="00CA72E5" w:rsidRPr="001700FE" w14:paraId="6E42DCF5" w14:textId="77777777" w:rsidTr="00B16B49">
        <w:trPr>
          <w:trHeight w:val="300"/>
        </w:trPr>
        <w:tc>
          <w:tcPr>
            <w:tcW w:w="2219" w:type="pct"/>
            <w:vAlign w:val="center"/>
          </w:tcPr>
          <w:p w14:paraId="39398309" w14:textId="77777777" w:rsidR="00CA72E5" w:rsidRPr="001700FE" w:rsidRDefault="00CA72E5" w:rsidP="00B16B49">
            <w:r w:rsidRPr="001700FE">
              <w:rPr>
                <w:rFonts w:eastAsia="Aptos"/>
              </w:rPr>
              <w:t>Manufacturing</w:t>
            </w:r>
          </w:p>
        </w:tc>
        <w:tc>
          <w:tcPr>
            <w:tcW w:w="556" w:type="pct"/>
            <w:shd w:val="clear" w:color="auto" w:fill="DAFCFF" w:themeFill="accent6" w:themeFillTint="33"/>
            <w:vAlign w:val="center"/>
          </w:tcPr>
          <w:p w14:paraId="6E64C4A3" w14:textId="77777777" w:rsidR="00CA72E5" w:rsidRPr="00171586" w:rsidRDefault="00CA72E5" w:rsidP="00B16B49">
            <w:pPr>
              <w:jc w:val="center"/>
              <w:rPr>
                <w:b/>
              </w:rPr>
            </w:pPr>
            <w:r w:rsidRPr="00171586">
              <w:rPr>
                <w:rFonts w:ascii="Segoe UI Symbol" w:hAnsi="Segoe UI Symbol" w:cs="Segoe UI Symbol"/>
                <w:b/>
              </w:rPr>
              <w:t>✓</w:t>
            </w:r>
          </w:p>
        </w:tc>
        <w:tc>
          <w:tcPr>
            <w:tcW w:w="556" w:type="pct"/>
            <w:vAlign w:val="center"/>
          </w:tcPr>
          <w:p w14:paraId="2AD88F49" w14:textId="77777777" w:rsidR="00CA72E5" w:rsidRPr="00171586" w:rsidRDefault="00CA72E5" w:rsidP="00B16B49">
            <w:pPr>
              <w:jc w:val="center"/>
              <w:rPr>
                <w:b/>
              </w:rPr>
            </w:pPr>
          </w:p>
        </w:tc>
        <w:tc>
          <w:tcPr>
            <w:tcW w:w="556" w:type="pct"/>
            <w:shd w:val="clear" w:color="auto" w:fill="DAFCFF" w:themeFill="accent6" w:themeFillTint="33"/>
            <w:vAlign w:val="center"/>
          </w:tcPr>
          <w:p w14:paraId="50FDB6EA" w14:textId="77777777" w:rsidR="00CA72E5" w:rsidRPr="00171586" w:rsidRDefault="00CA72E5" w:rsidP="00B16B49">
            <w:pPr>
              <w:jc w:val="center"/>
              <w:rPr>
                <w:b/>
              </w:rPr>
            </w:pPr>
            <w:r w:rsidRPr="00171586">
              <w:rPr>
                <w:rFonts w:ascii="Segoe UI Symbol" w:hAnsi="Segoe UI Symbol" w:cs="Segoe UI Symbol"/>
                <w:b/>
              </w:rPr>
              <w:t>✓</w:t>
            </w:r>
          </w:p>
        </w:tc>
        <w:tc>
          <w:tcPr>
            <w:tcW w:w="556" w:type="pct"/>
            <w:vAlign w:val="center"/>
          </w:tcPr>
          <w:p w14:paraId="305F0F38" w14:textId="77777777" w:rsidR="00CA72E5" w:rsidRPr="00171586" w:rsidRDefault="00CA72E5" w:rsidP="00B16B49">
            <w:pPr>
              <w:jc w:val="center"/>
              <w:rPr>
                <w:b/>
              </w:rPr>
            </w:pPr>
          </w:p>
        </w:tc>
        <w:tc>
          <w:tcPr>
            <w:tcW w:w="557" w:type="pct"/>
            <w:shd w:val="clear" w:color="auto" w:fill="DAFCFF" w:themeFill="accent6" w:themeFillTint="33"/>
            <w:vAlign w:val="center"/>
          </w:tcPr>
          <w:p w14:paraId="49D79383" w14:textId="77777777" w:rsidR="00CA72E5" w:rsidRPr="00171586" w:rsidRDefault="00CA72E5" w:rsidP="00B16B49">
            <w:pPr>
              <w:jc w:val="center"/>
              <w:rPr>
                <w:b/>
              </w:rPr>
            </w:pPr>
            <w:r w:rsidRPr="00171586">
              <w:rPr>
                <w:rFonts w:ascii="Segoe UI Symbol" w:hAnsi="Segoe UI Symbol" w:cs="Segoe UI Symbol"/>
                <w:b/>
              </w:rPr>
              <w:t>✓</w:t>
            </w:r>
          </w:p>
        </w:tc>
      </w:tr>
      <w:tr w:rsidR="00CA72E5" w:rsidRPr="001700FE" w14:paraId="3F4065B1" w14:textId="77777777" w:rsidTr="00B16B49">
        <w:trPr>
          <w:trHeight w:val="300"/>
        </w:trPr>
        <w:tc>
          <w:tcPr>
            <w:tcW w:w="2219" w:type="pct"/>
            <w:vAlign w:val="center"/>
          </w:tcPr>
          <w:p w14:paraId="16239114" w14:textId="77777777" w:rsidR="00CA72E5" w:rsidRPr="001700FE" w:rsidRDefault="00CA72E5" w:rsidP="00B16B49">
            <w:r w:rsidRPr="001700FE">
              <w:rPr>
                <w:rFonts w:eastAsia="Aptos"/>
              </w:rPr>
              <w:t>Green metals</w:t>
            </w:r>
          </w:p>
        </w:tc>
        <w:tc>
          <w:tcPr>
            <w:tcW w:w="556" w:type="pct"/>
            <w:shd w:val="clear" w:color="auto" w:fill="DAFCFF" w:themeFill="accent6" w:themeFillTint="33"/>
            <w:vAlign w:val="center"/>
          </w:tcPr>
          <w:p w14:paraId="6D81594C" w14:textId="77777777" w:rsidR="00CA72E5" w:rsidRPr="00171586" w:rsidRDefault="00CA72E5" w:rsidP="00B16B49">
            <w:pPr>
              <w:jc w:val="center"/>
              <w:rPr>
                <w:b/>
              </w:rPr>
            </w:pPr>
            <w:r w:rsidRPr="00171586">
              <w:rPr>
                <w:rFonts w:ascii="Segoe UI Symbol" w:hAnsi="Segoe UI Symbol" w:cs="Segoe UI Symbol"/>
                <w:b/>
              </w:rPr>
              <w:t>✓</w:t>
            </w:r>
          </w:p>
        </w:tc>
        <w:tc>
          <w:tcPr>
            <w:tcW w:w="556" w:type="pct"/>
            <w:vAlign w:val="center"/>
          </w:tcPr>
          <w:p w14:paraId="164B98D2" w14:textId="77777777" w:rsidR="00CA72E5" w:rsidRPr="00171586" w:rsidRDefault="00CA72E5" w:rsidP="00B16B49">
            <w:pPr>
              <w:jc w:val="center"/>
              <w:rPr>
                <w:b/>
              </w:rPr>
            </w:pPr>
          </w:p>
        </w:tc>
        <w:tc>
          <w:tcPr>
            <w:tcW w:w="556" w:type="pct"/>
            <w:shd w:val="clear" w:color="auto" w:fill="DAFCFF" w:themeFill="accent6" w:themeFillTint="33"/>
            <w:vAlign w:val="center"/>
          </w:tcPr>
          <w:p w14:paraId="6D326C74" w14:textId="77777777" w:rsidR="00CA72E5" w:rsidRPr="00171586" w:rsidRDefault="00CA72E5" w:rsidP="00B16B49">
            <w:pPr>
              <w:jc w:val="center"/>
              <w:rPr>
                <w:b/>
              </w:rPr>
            </w:pPr>
            <w:r w:rsidRPr="00171586">
              <w:rPr>
                <w:rFonts w:ascii="Segoe UI Symbol" w:hAnsi="Segoe UI Symbol" w:cs="Segoe UI Symbol"/>
                <w:b/>
              </w:rPr>
              <w:t>✓</w:t>
            </w:r>
          </w:p>
        </w:tc>
        <w:tc>
          <w:tcPr>
            <w:tcW w:w="556" w:type="pct"/>
            <w:vAlign w:val="center"/>
          </w:tcPr>
          <w:p w14:paraId="427798E0" w14:textId="77777777" w:rsidR="00CA72E5" w:rsidRPr="00171586" w:rsidRDefault="00CA72E5" w:rsidP="00B16B49">
            <w:pPr>
              <w:jc w:val="center"/>
              <w:rPr>
                <w:b/>
              </w:rPr>
            </w:pPr>
          </w:p>
        </w:tc>
        <w:tc>
          <w:tcPr>
            <w:tcW w:w="557" w:type="pct"/>
            <w:shd w:val="clear" w:color="auto" w:fill="DAFCFF" w:themeFill="accent6" w:themeFillTint="33"/>
            <w:vAlign w:val="center"/>
          </w:tcPr>
          <w:p w14:paraId="0130913C" w14:textId="77777777" w:rsidR="00CA72E5" w:rsidRPr="00171586" w:rsidRDefault="00CA72E5" w:rsidP="00B16B49">
            <w:pPr>
              <w:jc w:val="center"/>
              <w:rPr>
                <w:b/>
              </w:rPr>
            </w:pPr>
            <w:r w:rsidRPr="00171586">
              <w:rPr>
                <w:rFonts w:ascii="Segoe UI Symbol" w:hAnsi="Segoe UI Symbol" w:cs="Segoe UI Symbol"/>
                <w:b/>
              </w:rPr>
              <w:t>✓</w:t>
            </w:r>
          </w:p>
        </w:tc>
      </w:tr>
      <w:tr w:rsidR="00CA72E5" w:rsidRPr="001700FE" w14:paraId="0C7D5F3A" w14:textId="77777777" w:rsidTr="00B16B49">
        <w:trPr>
          <w:trHeight w:val="300"/>
        </w:trPr>
        <w:tc>
          <w:tcPr>
            <w:tcW w:w="2219" w:type="pct"/>
            <w:vAlign w:val="center"/>
          </w:tcPr>
          <w:p w14:paraId="248A084D" w14:textId="77777777" w:rsidR="00CA72E5" w:rsidRPr="001700FE" w:rsidRDefault="00CA72E5" w:rsidP="00B16B49">
            <w:r w:rsidRPr="001700FE">
              <w:rPr>
                <w:rFonts w:eastAsia="Aptos"/>
              </w:rPr>
              <w:t>Critical minerals</w:t>
            </w:r>
          </w:p>
        </w:tc>
        <w:tc>
          <w:tcPr>
            <w:tcW w:w="556" w:type="pct"/>
            <w:vAlign w:val="center"/>
          </w:tcPr>
          <w:p w14:paraId="5E6D3E79" w14:textId="77777777" w:rsidR="00CA72E5" w:rsidRPr="00171586" w:rsidRDefault="00CA72E5" w:rsidP="00B16B49">
            <w:pPr>
              <w:jc w:val="center"/>
              <w:rPr>
                <w:b/>
              </w:rPr>
            </w:pPr>
          </w:p>
        </w:tc>
        <w:tc>
          <w:tcPr>
            <w:tcW w:w="556" w:type="pct"/>
            <w:vAlign w:val="center"/>
          </w:tcPr>
          <w:p w14:paraId="20029342" w14:textId="77777777" w:rsidR="00CA72E5" w:rsidRPr="00171586" w:rsidRDefault="00CA72E5" w:rsidP="00B16B49">
            <w:pPr>
              <w:jc w:val="center"/>
              <w:rPr>
                <w:b/>
              </w:rPr>
            </w:pPr>
          </w:p>
        </w:tc>
        <w:tc>
          <w:tcPr>
            <w:tcW w:w="556" w:type="pct"/>
            <w:shd w:val="clear" w:color="auto" w:fill="DAFCFF" w:themeFill="accent6" w:themeFillTint="33"/>
            <w:vAlign w:val="center"/>
          </w:tcPr>
          <w:p w14:paraId="1DD802A7"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02EA7293" w14:textId="77777777" w:rsidR="00CA72E5" w:rsidRPr="00171586" w:rsidRDefault="00CA72E5" w:rsidP="00B16B49">
            <w:pPr>
              <w:jc w:val="center"/>
              <w:rPr>
                <w:b/>
              </w:rPr>
            </w:pPr>
            <w:r w:rsidRPr="00171586">
              <w:rPr>
                <w:rFonts w:ascii="Segoe UI Symbol" w:hAnsi="Segoe UI Symbol" w:cs="Segoe UI Symbol"/>
                <w:b/>
              </w:rPr>
              <w:t>✓</w:t>
            </w:r>
          </w:p>
        </w:tc>
        <w:tc>
          <w:tcPr>
            <w:tcW w:w="557" w:type="pct"/>
            <w:shd w:val="clear" w:color="auto" w:fill="DAFCFF" w:themeFill="accent6" w:themeFillTint="33"/>
            <w:vAlign w:val="center"/>
          </w:tcPr>
          <w:p w14:paraId="773A23D3" w14:textId="77777777" w:rsidR="00CA72E5" w:rsidRPr="00171586" w:rsidRDefault="00CA72E5" w:rsidP="00B16B49">
            <w:pPr>
              <w:jc w:val="center"/>
              <w:rPr>
                <w:b/>
              </w:rPr>
            </w:pPr>
            <w:r w:rsidRPr="00171586">
              <w:rPr>
                <w:rFonts w:ascii="Segoe UI Symbol" w:hAnsi="Segoe UI Symbol" w:cs="Segoe UI Symbol"/>
                <w:b/>
              </w:rPr>
              <w:t>✓</w:t>
            </w:r>
          </w:p>
        </w:tc>
      </w:tr>
      <w:tr w:rsidR="00CA72E5" w:rsidRPr="001700FE" w14:paraId="49D56C55" w14:textId="77777777" w:rsidTr="00B16B49">
        <w:trPr>
          <w:trHeight w:val="300"/>
        </w:trPr>
        <w:tc>
          <w:tcPr>
            <w:tcW w:w="2219" w:type="pct"/>
            <w:vAlign w:val="center"/>
          </w:tcPr>
          <w:p w14:paraId="40BAEB25" w14:textId="77777777" w:rsidR="00CA72E5" w:rsidRPr="001700FE" w:rsidRDefault="00CA72E5" w:rsidP="00B16B49">
            <w:r w:rsidRPr="001700FE">
              <w:rPr>
                <w:rFonts w:eastAsia="Aptos"/>
              </w:rPr>
              <w:t xml:space="preserve">Agriculture </w:t>
            </w:r>
          </w:p>
        </w:tc>
        <w:tc>
          <w:tcPr>
            <w:tcW w:w="556" w:type="pct"/>
            <w:shd w:val="clear" w:color="auto" w:fill="DAFCFF" w:themeFill="accent6" w:themeFillTint="33"/>
            <w:vAlign w:val="center"/>
          </w:tcPr>
          <w:p w14:paraId="5DDBB152"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502E908C"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256C2B12"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41BD0DB5" w14:textId="77777777" w:rsidR="00CA72E5" w:rsidRPr="00171586" w:rsidRDefault="00CA72E5" w:rsidP="00B16B49">
            <w:pPr>
              <w:jc w:val="center"/>
              <w:rPr>
                <w:b/>
              </w:rPr>
            </w:pPr>
            <w:r w:rsidRPr="00171586">
              <w:rPr>
                <w:rFonts w:ascii="Segoe UI Symbol" w:hAnsi="Segoe UI Symbol" w:cs="Segoe UI Symbol"/>
                <w:b/>
              </w:rPr>
              <w:t>✓</w:t>
            </w:r>
          </w:p>
        </w:tc>
        <w:tc>
          <w:tcPr>
            <w:tcW w:w="557" w:type="pct"/>
            <w:shd w:val="clear" w:color="auto" w:fill="DAFCFF" w:themeFill="accent6" w:themeFillTint="33"/>
            <w:vAlign w:val="center"/>
          </w:tcPr>
          <w:p w14:paraId="0CC3AD20" w14:textId="77777777" w:rsidR="00CA72E5" w:rsidRPr="00171586" w:rsidRDefault="00CA72E5" w:rsidP="00B16B49">
            <w:pPr>
              <w:jc w:val="center"/>
              <w:rPr>
                <w:b/>
              </w:rPr>
            </w:pPr>
            <w:r w:rsidRPr="00171586">
              <w:rPr>
                <w:rFonts w:ascii="Segoe UI Symbol" w:hAnsi="Segoe UI Symbol" w:cs="Segoe UI Symbol"/>
                <w:b/>
              </w:rPr>
              <w:t>✓</w:t>
            </w:r>
          </w:p>
        </w:tc>
      </w:tr>
      <w:tr w:rsidR="00CA72E5" w:rsidRPr="001700FE" w14:paraId="2028CEC7" w14:textId="77777777" w:rsidTr="00B16B49">
        <w:trPr>
          <w:trHeight w:val="300"/>
        </w:trPr>
        <w:tc>
          <w:tcPr>
            <w:tcW w:w="2219" w:type="pct"/>
            <w:vAlign w:val="center"/>
          </w:tcPr>
          <w:p w14:paraId="1BA9CC34" w14:textId="77777777" w:rsidR="00CA72E5" w:rsidRPr="001700FE" w:rsidRDefault="00CA72E5" w:rsidP="00B16B49">
            <w:r w:rsidRPr="001700FE">
              <w:rPr>
                <w:rFonts w:eastAsia="Aptos"/>
              </w:rPr>
              <w:t>Defence</w:t>
            </w:r>
          </w:p>
        </w:tc>
        <w:tc>
          <w:tcPr>
            <w:tcW w:w="556" w:type="pct"/>
            <w:vAlign w:val="center"/>
          </w:tcPr>
          <w:p w14:paraId="5C0B99C4" w14:textId="77777777" w:rsidR="00CA72E5" w:rsidRPr="00171586" w:rsidRDefault="00CA72E5" w:rsidP="00B16B49">
            <w:pPr>
              <w:jc w:val="center"/>
              <w:rPr>
                <w:b/>
              </w:rPr>
            </w:pPr>
          </w:p>
        </w:tc>
        <w:tc>
          <w:tcPr>
            <w:tcW w:w="556" w:type="pct"/>
            <w:vAlign w:val="center"/>
          </w:tcPr>
          <w:p w14:paraId="4416DADB" w14:textId="77777777" w:rsidR="00CA72E5" w:rsidRPr="00171586" w:rsidRDefault="00CA72E5" w:rsidP="00B16B49">
            <w:pPr>
              <w:jc w:val="center"/>
              <w:rPr>
                <w:b/>
              </w:rPr>
            </w:pPr>
          </w:p>
        </w:tc>
        <w:tc>
          <w:tcPr>
            <w:tcW w:w="556" w:type="pct"/>
            <w:shd w:val="clear" w:color="auto" w:fill="DAFCFF" w:themeFill="accent6" w:themeFillTint="33"/>
            <w:vAlign w:val="center"/>
          </w:tcPr>
          <w:p w14:paraId="3BD6D78E" w14:textId="77777777" w:rsidR="00CA72E5" w:rsidRPr="00171586" w:rsidRDefault="00CA72E5" w:rsidP="00B16B49">
            <w:pPr>
              <w:jc w:val="center"/>
              <w:rPr>
                <w:b/>
              </w:rPr>
            </w:pPr>
            <w:r w:rsidRPr="00171586">
              <w:rPr>
                <w:rFonts w:ascii="Segoe UI Symbol" w:hAnsi="Segoe UI Symbol" w:cs="Segoe UI Symbol"/>
                <w:b/>
              </w:rPr>
              <w:t>✓</w:t>
            </w:r>
          </w:p>
        </w:tc>
        <w:tc>
          <w:tcPr>
            <w:tcW w:w="556" w:type="pct"/>
            <w:vAlign w:val="center"/>
          </w:tcPr>
          <w:p w14:paraId="3C182DD1" w14:textId="77777777" w:rsidR="00CA72E5" w:rsidRPr="00171586" w:rsidRDefault="00CA72E5" w:rsidP="00B16B49">
            <w:pPr>
              <w:jc w:val="center"/>
              <w:rPr>
                <w:b/>
              </w:rPr>
            </w:pPr>
          </w:p>
        </w:tc>
        <w:tc>
          <w:tcPr>
            <w:tcW w:w="557" w:type="pct"/>
            <w:shd w:val="clear" w:color="auto" w:fill="DAFCFF" w:themeFill="accent6" w:themeFillTint="33"/>
            <w:vAlign w:val="center"/>
          </w:tcPr>
          <w:p w14:paraId="06A26C7E" w14:textId="77777777" w:rsidR="00CA72E5" w:rsidRPr="00171586" w:rsidRDefault="00CA72E5" w:rsidP="00B16B49">
            <w:pPr>
              <w:jc w:val="center"/>
              <w:rPr>
                <w:b/>
              </w:rPr>
            </w:pPr>
            <w:r w:rsidRPr="00171586">
              <w:rPr>
                <w:rFonts w:ascii="Segoe UI Symbol" w:hAnsi="Segoe UI Symbol" w:cs="Segoe UI Symbol"/>
                <w:b/>
              </w:rPr>
              <w:t>✓</w:t>
            </w:r>
          </w:p>
        </w:tc>
      </w:tr>
      <w:tr w:rsidR="00CA72E5" w:rsidRPr="001700FE" w14:paraId="48D6CD31" w14:textId="77777777" w:rsidTr="00B16B49">
        <w:trPr>
          <w:trHeight w:val="300"/>
        </w:trPr>
        <w:tc>
          <w:tcPr>
            <w:tcW w:w="2219" w:type="pct"/>
            <w:vAlign w:val="center"/>
          </w:tcPr>
          <w:p w14:paraId="58917A30" w14:textId="77777777" w:rsidR="00CA72E5" w:rsidRPr="001700FE" w:rsidRDefault="00CA72E5" w:rsidP="00B16B49">
            <w:pPr>
              <w:rPr>
                <w:rFonts w:eastAsia="Aptos"/>
              </w:rPr>
            </w:pPr>
            <w:r>
              <w:rPr>
                <w:rFonts w:eastAsia="Aptos"/>
              </w:rPr>
              <w:t>Infrastructure</w:t>
            </w:r>
          </w:p>
        </w:tc>
        <w:tc>
          <w:tcPr>
            <w:tcW w:w="556" w:type="pct"/>
            <w:vAlign w:val="center"/>
          </w:tcPr>
          <w:p w14:paraId="600971BB" w14:textId="77777777" w:rsidR="00CA72E5" w:rsidRPr="00171586" w:rsidRDefault="00CA72E5" w:rsidP="00B16B49">
            <w:pPr>
              <w:jc w:val="center"/>
              <w:rPr>
                <w:b/>
              </w:rPr>
            </w:pPr>
          </w:p>
        </w:tc>
        <w:tc>
          <w:tcPr>
            <w:tcW w:w="556" w:type="pct"/>
            <w:shd w:val="clear" w:color="auto" w:fill="DAFCFF" w:themeFill="accent6" w:themeFillTint="33"/>
            <w:vAlign w:val="center"/>
          </w:tcPr>
          <w:p w14:paraId="655CFB28"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3B1C20C6"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41220D58" w14:textId="77777777" w:rsidR="00CA72E5" w:rsidRPr="00171586" w:rsidRDefault="00CA72E5" w:rsidP="00B16B49">
            <w:pPr>
              <w:jc w:val="center"/>
              <w:rPr>
                <w:b/>
              </w:rPr>
            </w:pPr>
            <w:r w:rsidRPr="00171586">
              <w:rPr>
                <w:rFonts w:ascii="Segoe UI Symbol" w:hAnsi="Segoe UI Symbol" w:cs="Segoe UI Symbol"/>
                <w:b/>
              </w:rPr>
              <w:t>✓</w:t>
            </w:r>
          </w:p>
        </w:tc>
        <w:tc>
          <w:tcPr>
            <w:tcW w:w="557" w:type="pct"/>
            <w:vAlign w:val="center"/>
          </w:tcPr>
          <w:p w14:paraId="5266B266" w14:textId="77777777" w:rsidR="00CA72E5" w:rsidRPr="00171586" w:rsidRDefault="00CA72E5" w:rsidP="00B16B49">
            <w:pPr>
              <w:jc w:val="center"/>
              <w:rPr>
                <w:b/>
              </w:rPr>
            </w:pPr>
          </w:p>
        </w:tc>
      </w:tr>
      <w:tr w:rsidR="00CA72E5" w:rsidRPr="001700FE" w14:paraId="6F293241" w14:textId="77777777" w:rsidTr="00B16B49">
        <w:trPr>
          <w:trHeight w:val="300"/>
        </w:trPr>
        <w:tc>
          <w:tcPr>
            <w:tcW w:w="2219" w:type="pct"/>
            <w:vAlign w:val="center"/>
          </w:tcPr>
          <w:p w14:paraId="738ABE58" w14:textId="77777777" w:rsidR="00CA72E5" w:rsidRPr="001700FE" w:rsidRDefault="00CA72E5" w:rsidP="00B16B49">
            <w:r w:rsidRPr="001700FE">
              <w:rPr>
                <w:rFonts w:eastAsia="Aptos"/>
              </w:rPr>
              <w:t>Other</w:t>
            </w:r>
          </w:p>
        </w:tc>
        <w:tc>
          <w:tcPr>
            <w:tcW w:w="556" w:type="pct"/>
            <w:vAlign w:val="center"/>
          </w:tcPr>
          <w:p w14:paraId="2CB5253D" w14:textId="77777777" w:rsidR="00CA72E5" w:rsidRPr="00171586" w:rsidRDefault="00CA72E5" w:rsidP="00B16B49">
            <w:pPr>
              <w:jc w:val="center"/>
              <w:rPr>
                <w:b/>
              </w:rPr>
            </w:pPr>
          </w:p>
        </w:tc>
        <w:tc>
          <w:tcPr>
            <w:tcW w:w="556" w:type="pct"/>
            <w:shd w:val="clear" w:color="auto" w:fill="DAFCFF" w:themeFill="accent6" w:themeFillTint="33"/>
            <w:vAlign w:val="center"/>
          </w:tcPr>
          <w:p w14:paraId="3C6264F6"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25C7F601"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03354687" w14:textId="77777777" w:rsidR="00CA72E5" w:rsidRPr="00171586" w:rsidRDefault="00CA72E5" w:rsidP="00B16B49">
            <w:pPr>
              <w:jc w:val="center"/>
              <w:rPr>
                <w:b/>
              </w:rPr>
            </w:pPr>
            <w:r w:rsidRPr="00171586">
              <w:rPr>
                <w:rFonts w:ascii="Segoe UI Symbol" w:hAnsi="Segoe UI Symbol" w:cs="Segoe UI Symbol"/>
                <w:b/>
              </w:rPr>
              <w:t>✓</w:t>
            </w:r>
          </w:p>
        </w:tc>
        <w:tc>
          <w:tcPr>
            <w:tcW w:w="557" w:type="pct"/>
            <w:shd w:val="clear" w:color="auto" w:fill="DAFCFF" w:themeFill="accent6" w:themeFillTint="33"/>
            <w:vAlign w:val="center"/>
          </w:tcPr>
          <w:p w14:paraId="2DDF6B6E" w14:textId="77777777" w:rsidR="00CA72E5" w:rsidRPr="00171586" w:rsidRDefault="00CA72E5" w:rsidP="00B16B49">
            <w:pPr>
              <w:jc w:val="center"/>
              <w:rPr>
                <w:b/>
              </w:rPr>
            </w:pPr>
            <w:r w:rsidRPr="00171586">
              <w:rPr>
                <w:rFonts w:ascii="Segoe UI Symbol" w:hAnsi="Segoe UI Symbol" w:cs="Segoe UI Symbol"/>
                <w:b/>
              </w:rPr>
              <w:t>✓</w:t>
            </w:r>
          </w:p>
        </w:tc>
      </w:tr>
      <w:tr w:rsidR="00CA72E5" w:rsidRPr="00562A5A" w14:paraId="55508029" w14:textId="77777777" w:rsidTr="00B16B49">
        <w:trPr>
          <w:trHeight w:val="300"/>
        </w:trPr>
        <w:tc>
          <w:tcPr>
            <w:tcW w:w="2219" w:type="pct"/>
            <w:shd w:val="clear" w:color="auto" w:fill="D6E6FF" w:themeFill="text2" w:themeFillTint="1A"/>
            <w:vAlign w:val="center"/>
          </w:tcPr>
          <w:p w14:paraId="1A79C98C" w14:textId="77777777" w:rsidR="00CA72E5" w:rsidRPr="00562A5A" w:rsidRDefault="00CA72E5" w:rsidP="00B16B49">
            <w:pPr>
              <w:rPr>
                <w:b/>
              </w:rPr>
            </w:pPr>
            <w:r w:rsidRPr="00562A5A">
              <w:rPr>
                <w:rFonts w:eastAsia="Aptos"/>
                <w:b/>
              </w:rPr>
              <w:t>Funding lifecycle</w:t>
            </w:r>
          </w:p>
        </w:tc>
        <w:tc>
          <w:tcPr>
            <w:tcW w:w="556" w:type="pct"/>
            <w:shd w:val="clear" w:color="auto" w:fill="D6E6FF" w:themeFill="text2" w:themeFillTint="1A"/>
            <w:vAlign w:val="center"/>
          </w:tcPr>
          <w:p w14:paraId="4D35C2EB" w14:textId="77777777" w:rsidR="00CA72E5" w:rsidRPr="00562A5A" w:rsidRDefault="00CA72E5" w:rsidP="00B16B49">
            <w:pPr>
              <w:jc w:val="center"/>
              <w:rPr>
                <w:b/>
              </w:rPr>
            </w:pPr>
          </w:p>
        </w:tc>
        <w:tc>
          <w:tcPr>
            <w:tcW w:w="556" w:type="pct"/>
            <w:shd w:val="clear" w:color="auto" w:fill="D6E6FF" w:themeFill="text2" w:themeFillTint="1A"/>
            <w:vAlign w:val="center"/>
          </w:tcPr>
          <w:p w14:paraId="2283A104" w14:textId="77777777" w:rsidR="00CA72E5" w:rsidRPr="00562A5A" w:rsidRDefault="00CA72E5" w:rsidP="00B16B49">
            <w:pPr>
              <w:jc w:val="center"/>
              <w:rPr>
                <w:b/>
              </w:rPr>
            </w:pPr>
          </w:p>
        </w:tc>
        <w:tc>
          <w:tcPr>
            <w:tcW w:w="556" w:type="pct"/>
            <w:shd w:val="clear" w:color="auto" w:fill="D6E6FF" w:themeFill="text2" w:themeFillTint="1A"/>
            <w:vAlign w:val="center"/>
          </w:tcPr>
          <w:p w14:paraId="2EC4E2A8" w14:textId="77777777" w:rsidR="00CA72E5" w:rsidRPr="00562A5A" w:rsidRDefault="00CA72E5" w:rsidP="00B16B49">
            <w:pPr>
              <w:jc w:val="center"/>
              <w:rPr>
                <w:b/>
              </w:rPr>
            </w:pPr>
          </w:p>
        </w:tc>
        <w:tc>
          <w:tcPr>
            <w:tcW w:w="556" w:type="pct"/>
            <w:shd w:val="clear" w:color="auto" w:fill="D6E6FF" w:themeFill="text2" w:themeFillTint="1A"/>
            <w:vAlign w:val="center"/>
          </w:tcPr>
          <w:p w14:paraId="52381674" w14:textId="77777777" w:rsidR="00CA72E5" w:rsidRPr="00562A5A" w:rsidRDefault="00CA72E5" w:rsidP="00B16B49">
            <w:pPr>
              <w:jc w:val="center"/>
              <w:rPr>
                <w:b/>
              </w:rPr>
            </w:pPr>
          </w:p>
        </w:tc>
        <w:tc>
          <w:tcPr>
            <w:tcW w:w="557" w:type="pct"/>
            <w:shd w:val="clear" w:color="auto" w:fill="D6E6FF" w:themeFill="text2" w:themeFillTint="1A"/>
            <w:vAlign w:val="center"/>
          </w:tcPr>
          <w:p w14:paraId="4CC24EA9" w14:textId="77777777" w:rsidR="00CA72E5" w:rsidRPr="00562A5A" w:rsidRDefault="00CA72E5" w:rsidP="00B16B49">
            <w:pPr>
              <w:jc w:val="center"/>
              <w:rPr>
                <w:b/>
              </w:rPr>
            </w:pPr>
          </w:p>
        </w:tc>
      </w:tr>
      <w:tr w:rsidR="00CA72E5" w:rsidRPr="001700FE" w14:paraId="6687C37A" w14:textId="77777777" w:rsidTr="00B16B49">
        <w:trPr>
          <w:trHeight w:val="300"/>
        </w:trPr>
        <w:tc>
          <w:tcPr>
            <w:tcW w:w="2219" w:type="pct"/>
            <w:vAlign w:val="center"/>
          </w:tcPr>
          <w:p w14:paraId="0C518BC6" w14:textId="77777777" w:rsidR="00CA72E5" w:rsidRPr="001700FE" w:rsidRDefault="00CA72E5" w:rsidP="00B16B49">
            <w:r w:rsidRPr="001700FE">
              <w:rPr>
                <w:rFonts w:eastAsia="Aptos"/>
              </w:rPr>
              <w:t>Pre-seed</w:t>
            </w:r>
          </w:p>
        </w:tc>
        <w:tc>
          <w:tcPr>
            <w:tcW w:w="556" w:type="pct"/>
            <w:shd w:val="clear" w:color="auto" w:fill="DAFCFF" w:themeFill="accent6" w:themeFillTint="33"/>
            <w:vAlign w:val="center"/>
          </w:tcPr>
          <w:p w14:paraId="2F6BED78"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A5FFE3" w:themeFill="accent2" w:themeFillTint="33"/>
            <w:vAlign w:val="center"/>
          </w:tcPr>
          <w:p w14:paraId="5A81D375" w14:textId="77777777" w:rsidR="00CA72E5" w:rsidRPr="00171586" w:rsidRDefault="00CA72E5" w:rsidP="00B16B49">
            <w:pPr>
              <w:jc w:val="center"/>
              <w:rPr>
                <w:b/>
              </w:rPr>
            </w:pPr>
          </w:p>
        </w:tc>
        <w:tc>
          <w:tcPr>
            <w:tcW w:w="556" w:type="pct"/>
            <w:shd w:val="clear" w:color="auto" w:fill="A5FFE3" w:themeFill="accent2" w:themeFillTint="33"/>
            <w:vAlign w:val="center"/>
          </w:tcPr>
          <w:p w14:paraId="419A188E" w14:textId="77777777" w:rsidR="00CA72E5" w:rsidRPr="00171586" w:rsidRDefault="00CA72E5" w:rsidP="00B16B49">
            <w:pPr>
              <w:jc w:val="center"/>
              <w:rPr>
                <w:b/>
              </w:rPr>
            </w:pPr>
          </w:p>
        </w:tc>
        <w:tc>
          <w:tcPr>
            <w:tcW w:w="556" w:type="pct"/>
            <w:shd w:val="clear" w:color="auto" w:fill="A5FFE3" w:themeFill="accent2" w:themeFillTint="33"/>
            <w:vAlign w:val="center"/>
          </w:tcPr>
          <w:p w14:paraId="4FACCC63" w14:textId="77777777" w:rsidR="00CA72E5" w:rsidRPr="00171586" w:rsidRDefault="00CA72E5" w:rsidP="00B16B49">
            <w:pPr>
              <w:jc w:val="center"/>
              <w:rPr>
                <w:b/>
              </w:rPr>
            </w:pPr>
          </w:p>
        </w:tc>
        <w:tc>
          <w:tcPr>
            <w:tcW w:w="557" w:type="pct"/>
            <w:shd w:val="clear" w:color="auto" w:fill="A5FFE3" w:themeFill="accent2" w:themeFillTint="33"/>
            <w:vAlign w:val="center"/>
          </w:tcPr>
          <w:p w14:paraId="3329D2C6" w14:textId="77777777" w:rsidR="00CA72E5" w:rsidRPr="00171586" w:rsidRDefault="00CA72E5" w:rsidP="00B16B49">
            <w:pPr>
              <w:jc w:val="center"/>
              <w:rPr>
                <w:b/>
              </w:rPr>
            </w:pPr>
          </w:p>
        </w:tc>
      </w:tr>
      <w:tr w:rsidR="00CA72E5" w:rsidRPr="001700FE" w14:paraId="7E432B32" w14:textId="77777777" w:rsidTr="00B16B49">
        <w:trPr>
          <w:trHeight w:val="300"/>
        </w:trPr>
        <w:tc>
          <w:tcPr>
            <w:tcW w:w="2219" w:type="pct"/>
            <w:vAlign w:val="center"/>
          </w:tcPr>
          <w:p w14:paraId="01631F74" w14:textId="77777777" w:rsidR="00CA72E5" w:rsidRPr="001700FE" w:rsidRDefault="00CA72E5" w:rsidP="00B16B49">
            <w:r w:rsidRPr="001700FE">
              <w:rPr>
                <w:rFonts w:eastAsia="Aptos"/>
              </w:rPr>
              <w:t>Seed</w:t>
            </w:r>
          </w:p>
        </w:tc>
        <w:tc>
          <w:tcPr>
            <w:tcW w:w="556" w:type="pct"/>
            <w:shd w:val="clear" w:color="auto" w:fill="DAFCFF" w:themeFill="accent6" w:themeFillTint="33"/>
            <w:vAlign w:val="center"/>
          </w:tcPr>
          <w:p w14:paraId="52BA497B"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A5FFE3" w:themeFill="accent2" w:themeFillTint="33"/>
            <w:vAlign w:val="center"/>
          </w:tcPr>
          <w:p w14:paraId="4FA1D132" w14:textId="77777777" w:rsidR="00CA72E5" w:rsidRPr="00171586" w:rsidRDefault="00CA72E5" w:rsidP="00B16B49">
            <w:pPr>
              <w:jc w:val="center"/>
              <w:rPr>
                <w:b/>
              </w:rPr>
            </w:pPr>
          </w:p>
        </w:tc>
        <w:tc>
          <w:tcPr>
            <w:tcW w:w="556" w:type="pct"/>
            <w:shd w:val="clear" w:color="auto" w:fill="A5FFE3" w:themeFill="accent2" w:themeFillTint="33"/>
            <w:vAlign w:val="center"/>
          </w:tcPr>
          <w:p w14:paraId="0DE3447B" w14:textId="77777777" w:rsidR="00CA72E5" w:rsidRPr="00171586" w:rsidRDefault="00CA72E5" w:rsidP="00B16B49">
            <w:pPr>
              <w:jc w:val="center"/>
              <w:rPr>
                <w:b/>
              </w:rPr>
            </w:pPr>
          </w:p>
        </w:tc>
        <w:tc>
          <w:tcPr>
            <w:tcW w:w="556" w:type="pct"/>
            <w:shd w:val="clear" w:color="auto" w:fill="A5FFE3" w:themeFill="accent2" w:themeFillTint="33"/>
          </w:tcPr>
          <w:p w14:paraId="62C6E9F0" w14:textId="77777777" w:rsidR="00CA72E5" w:rsidRPr="00171586" w:rsidRDefault="00CA72E5" w:rsidP="00B16B49">
            <w:pPr>
              <w:jc w:val="center"/>
              <w:rPr>
                <w:b/>
              </w:rPr>
            </w:pPr>
          </w:p>
        </w:tc>
        <w:tc>
          <w:tcPr>
            <w:tcW w:w="557" w:type="pct"/>
            <w:shd w:val="clear" w:color="auto" w:fill="A5FFE3" w:themeFill="accent2" w:themeFillTint="33"/>
          </w:tcPr>
          <w:p w14:paraId="0409926E" w14:textId="77777777" w:rsidR="00CA72E5" w:rsidRPr="00171586" w:rsidRDefault="00CA72E5" w:rsidP="00B16B49">
            <w:pPr>
              <w:jc w:val="center"/>
              <w:rPr>
                <w:b/>
              </w:rPr>
            </w:pPr>
          </w:p>
        </w:tc>
      </w:tr>
      <w:tr w:rsidR="00CA72E5" w:rsidRPr="001700FE" w14:paraId="49B8C75B" w14:textId="77777777" w:rsidTr="00B16B49">
        <w:trPr>
          <w:trHeight w:val="300"/>
        </w:trPr>
        <w:tc>
          <w:tcPr>
            <w:tcW w:w="2219" w:type="pct"/>
            <w:vAlign w:val="center"/>
          </w:tcPr>
          <w:p w14:paraId="71DD27EE" w14:textId="77777777" w:rsidR="00CA72E5" w:rsidRPr="001700FE" w:rsidRDefault="00CA72E5" w:rsidP="00B16B49">
            <w:r w:rsidRPr="001700FE">
              <w:rPr>
                <w:rFonts w:eastAsia="Aptos"/>
              </w:rPr>
              <w:t>Growth</w:t>
            </w:r>
          </w:p>
        </w:tc>
        <w:tc>
          <w:tcPr>
            <w:tcW w:w="556" w:type="pct"/>
            <w:shd w:val="clear" w:color="auto" w:fill="DAFCFF" w:themeFill="accent6" w:themeFillTint="33"/>
            <w:vAlign w:val="center"/>
          </w:tcPr>
          <w:p w14:paraId="4C51BE96"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77095455"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3BF54AE6"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tcPr>
          <w:p w14:paraId="4C472382" w14:textId="77777777" w:rsidR="00CA72E5" w:rsidRPr="00171586" w:rsidRDefault="00CA72E5" w:rsidP="00B16B49">
            <w:pPr>
              <w:jc w:val="center"/>
              <w:rPr>
                <w:b/>
              </w:rPr>
            </w:pPr>
            <w:r w:rsidRPr="00171586">
              <w:rPr>
                <w:rFonts w:ascii="Segoe UI Symbol" w:hAnsi="Segoe UI Symbol" w:cs="Segoe UI Symbol"/>
                <w:b/>
              </w:rPr>
              <w:t>✓</w:t>
            </w:r>
          </w:p>
        </w:tc>
        <w:tc>
          <w:tcPr>
            <w:tcW w:w="557" w:type="pct"/>
            <w:shd w:val="clear" w:color="auto" w:fill="DAFCFF" w:themeFill="accent6" w:themeFillTint="33"/>
          </w:tcPr>
          <w:p w14:paraId="602A16C7" w14:textId="77777777" w:rsidR="00CA72E5" w:rsidRPr="00171586" w:rsidRDefault="00CA72E5" w:rsidP="00B16B49">
            <w:pPr>
              <w:jc w:val="center"/>
              <w:rPr>
                <w:b/>
              </w:rPr>
            </w:pPr>
            <w:r w:rsidRPr="00171586">
              <w:rPr>
                <w:rFonts w:ascii="Segoe UI Symbol" w:hAnsi="Segoe UI Symbol" w:cs="Segoe UI Symbol"/>
                <w:b/>
              </w:rPr>
              <w:t>✓</w:t>
            </w:r>
          </w:p>
        </w:tc>
      </w:tr>
      <w:tr w:rsidR="00CA72E5" w:rsidRPr="001700FE" w14:paraId="3F781035" w14:textId="77777777" w:rsidTr="00B16B49">
        <w:trPr>
          <w:trHeight w:val="300"/>
        </w:trPr>
        <w:tc>
          <w:tcPr>
            <w:tcW w:w="2219" w:type="pct"/>
            <w:vAlign w:val="center"/>
          </w:tcPr>
          <w:p w14:paraId="50C4B996" w14:textId="77777777" w:rsidR="00CA72E5" w:rsidRPr="001700FE" w:rsidRDefault="00CA72E5" w:rsidP="00B16B49">
            <w:r w:rsidRPr="001700FE">
              <w:rPr>
                <w:rFonts w:eastAsia="Aptos"/>
              </w:rPr>
              <w:t>Mature</w:t>
            </w:r>
          </w:p>
        </w:tc>
        <w:tc>
          <w:tcPr>
            <w:tcW w:w="556" w:type="pct"/>
            <w:vAlign w:val="center"/>
          </w:tcPr>
          <w:p w14:paraId="26108CEE" w14:textId="77777777" w:rsidR="00CA72E5" w:rsidRPr="00171586" w:rsidRDefault="00CA72E5" w:rsidP="00B16B49">
            <w:pPr>
              <w:jc w:val="center"/>
              <w:rPr>
                <w:b/>
              </w:rPr>
            </w:pPr>
          </w:p>
        </w:tc>
        <w:tc>
          <w:tcPr>
            <w:tcW w:w="556" w:type="pct"/>
            <w:shd w:val="clear" w:color="auto" w:fill="DAFCFF" w:themeFill="accent6" w:themeFillTint="33"/>
            <w:vAlign w:val="center"/>
          </w:tcPr>
          <w:p w14:paraId="63FB4D57"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3AD2FC5D"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tcPr>
          <w:p w14:paraId="4B285BFE" w14:textId="77777777" w:rsidR="00CA72E5" w:rsidRPr="00171586" w:rsidRDefault="00CA72E5" w:rsidP="00B16B49">
            <w:pPr>
              <w:jc w:val="center"/>
              <w:rPr>
                <w:b/>
              </w:rPr>
            </w:pPr>
            <w:r w:rsidRPr="00171586">
              <w:rPr>
                <w:rFonts w:ascii="Segoe UI Symbol" w:hAnsi="Segoe UI Symbol" w:cs="Segoe UI Symbol"/>
                <w:b/>
              </w:rPr>
              <w:t>✓</w:t>
            </w:r>
          </w:p>
        </w:tc>
        <w:tc>
          <w:tcPr>
            <w:tcW w:w="557" w:type="pct"/>
            <w:shd w:val="clear" w:color="auto" w:fill="DAFCFF" w:themeFill="accent6" w:themeFillTint="33"/>
          </w:tcPr>
          <w:p w14:paraId="665E01CD" w14:textId="77777777" w:rsidR="00CA72E5" w:rsidRPr="00171586" w:rsidRDefault="00CA72E5" w:rsidP="00B16B49">
            <w:pPr>
              <w:jc w:val="center"/>
              <w:rPr>
                <w:b/>
              </w:rPr>
            </w:pPr>
            <w:r w:rsidRPr="00171586">
              <w:rPr>
                <w:rFonts w:ascii="Segoe UI Symbol" w:hAnsi="Segoe UI Symbol" w:cs="Segoe UI Symbol"/>
                <w:b/>
              </w:rPr>
              <w:t>✓</w:t>
            </w:r>
          </w:p>
        </w:tc>
      </w:tr>
      <w:tr w:rsidR="00CA72E5" w:rsidRPr="00562A5A" w14:paraId="3314C24E" w14:textId="77777777" w:rsidTr="00B16B49">
        <w:trPr>
          <w:trHeight w:val="300"/>
        </w:trPr>
        <w:tc>
          <w:tcPr>
            <w:tcW w:w="2219" w:type="pct"/>
            <w:shd w:val="clear" w:color="auto" w:fill="D6E6FF" w:themeFill="text2" w:themeFillTint="1A"/>
            <w:vAlign w:val="center"/>
          </w:tcPr>
          <w:p w14:paraId="7C1288F5" w14:textId="77777777" w:rsidR="00CA72E5" w:rsidRPr="00562A5A" w:rsidRDefault="00CA72E5" w:rsidP="00B16B49">
            <w:pPr>
              <w:rPr>
                <w:rFonts w:eastAsia="Aptos"/>
                <w:b/>
              </w:rPr>
            </w:pPr>
            <w:r>
              <w:rPr>
                <w:rFonts w:eastAsia="Aptos"/>
                <w:b/>
              </w:rPr>
              <w:t>Innovation</w:t>
            </w:r>
            <w:r w:rsidRPr="00562A5A">
              <w:rPr>
                <w:rFonts w:eastAsia="Aptos"/>
                <w:b/>
              </w:rPr>
              <w:t xml:space="preserve"> lifecycle</w:t>
            </w:r>
          </w:p>
        </w:tc>
        <w:tc>
          <w:tcPr>
            <w:tcW w:w="556" w:type="pct"/>
            <w:shd w:val="clear" w:color="auto" w:fill="D6E6FF" w:themeFill="text2" w:themeFillTint="1A"/>
            <w:vAlign w:val="center"/>
          </w:tcPr>
          <w:p w14:paraId="6E1D18AF" w14:textId="77777777" w:rsidR="00CA72E5" w:rsidRPr="00562A5A" w:rsidRDefault="00CA72E5" w:rsidP="00B16B49">
            <w:pPr>
              <w:jc w:val="center"/>
              <w:rPr>
                <w:b/>
              </w:rPr>
            </w:pPr>
          </w:p>
        </w:tc>
        <w:tc>
          <w:tcPr>
            <w:tcW w:w="556" w:type="pct"/>
            <w:shd w:val="clear" w:color="auto" w:fill="D6E6FF" w:themeFill="text2" w:themeFillTint="1A"/>
            <w:vAlign w:val="center"/>
          </w:tcPr>
          <w:p w14:paraId="6D48F12D" w14:textId="77777777" w:rsidR="00CA72E5" w:rsidRPr="00562A5A" w:rsidRDefault="00CA72E5" w:rsidP="00B16B49">
            <w:pPr>
              <w:jc w:val="center"/>
              <w:rPr>
                <w:b/>
              </w:rPr>
            </w:pPr>
          </w:p>
        </w:tc>
        <w:tc>
          <w:tcPr>
            <w:tcW w:w="556" w:type="pct"/>
            <w:shd w:val="clear" w:color="auto" w:fill="D6E6FF" w:themeFill="text2" w:themeFillTint="1A"/>
            <w:vAlign w:val="center"/>
          </w:tcPr>
          <w:p w14:paraId="22593214" w14:textId="77777777" w:rsidR="00CA72E5" w:rsidRPr="00562A5A" w:rsidRDefault="00CA72E5" w:rsidP="00B16B49">
            <w:pPr>
              <w:jc w:val="center"/>
              <w:rPr>
                <w:b/>
              </w:rPr>
            </w:pPr>
          </w:p>
        </w:tc>
        <w:tc>
          <w:tcPr>
            <w:tcW w:w="556" w:type="pct"/>
            <w:shd w:val="clear" w:color="auto" w:fill="D6E6FF" w:themeFill="text2" w:themeFillTint="1A"/>
            <w:vAlign w:val="center"/>
          </w:tcPr>
          <w:p w14:paraId="52E2DDF0" w14:textId="77777777" w:rsidR="00CA72E5" w:rsidRPr="00562A5A" w:rsidRDefault="00CA72E5" w:rsidP="00B16B49">
            <w:pPr>
              <w:jc w:val="center"/>
              <w:rPr>
                <w:b/>
              </w:rPr>
            </w:pPr>
          </w:p>
        </w:tc>
        <w:tc>
          <w:tcPr>
            <w:tcW w:w="557" w:type="pct"/>
            <w:shd w:val="clear" w:color="auto" w:fill="D6E6FF" w:themeFill="text2" w:themeFillTint="1A"/>
            <w:vAlign w:val="center"/>
          </w:tcPr>
          <w:p w14:paraId="646934A0" w14:textId="77777777" w:rsidR="00CA72E5" w:rsidRPr="00562A5A" w:rsidRDefault="00CA72E5" w:rsidP="00B16B49">
            <w:pPr>
              <w:jc w:val="center"/>
              <w:rPr>
                <w:b/>
              </w:rPr>
            </w:pPr>
          </w:p>
        </w:tc>
      </w:tr>
      <w:tr w:rsidR="00CA72E5" w:rsidRPr="001700FE" w14:paraId="72138144" w14:textId="77777777" w:rsidTr="00B16B49">
        <w:trPr>
          <w:trHeight w:val="300"/>
        </w:trPr>
        <w:tc>
          <w:tcPr>
            <w:tcW w:w="2219" w:type="pct"/>
            <w:vAlign w:val="center"/>
          </w:tcPr>
          <w:p w14:paraId="3E6EFE8E" w14:textId="77777777" w:rsidR="00CA72E5" w:rsidRPr="001700FE" w:rsidRDefault="00CA72E5" w:rsidP="00B16B49">
            <w:r>
              <w:rPr>
                <w:rFonts w:eastAsia="Aptos"/>
              </w:rPr>
              <w:t>R&amp;D</w:t>
            </w:r>
          </w:p>
        </w:tc>
        <w:tc>
          <w:tcPr>
            <w:tcW w:w="556" w:type="pct"/>
            <w:shd w:val="clear" w:color="auto" w:fill="DAFCFF" w:themeFill="accent6" w:themeFillTint="33"/>
            <w:vAlign w:val="center"/>
          </w:tcPr>
          <w:p w14:paraId="43286DB8"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A5FFE3" w:themeFill="accent2" w:themeFillTint="33"/>
            <w:vAlign w:val="center"/>
          </w:tcPr>
          <w:p w14:paraId="01060769" w14:textId="77777777" w:rsidR="00CA72E5" w:rsidRPr="00171586" w:rsidRDefault="00CA72E5" w:rsidP="00B16B49">
            <w:pPr>
              <w:jc w:val="center"/>
              <w:rPr>
                <w:b/>
              </w:rPr>
            </w:pPr>
          </w:p>
        </w:tc>
        <w:tc>
          <w:tcPr>
            <w:tcW w:w="556" w:type="pct"/>
            <w:shd w:val="clear" w:color="auto" w:fill="A5FFE3" w:themeFill="accent2" w:themeFillTint="33"/>
            <w:vAlign w:val="center"/>
          </w:tcPr>
          <w:p w14:paraId="5F56F945" w14:textId="77777777" w:rsidR="00CA72E5" w:rsidRPr="00171586" w:rsidRDefault="00CA72E5" w:rsidP="00B16B49">
            <w:pPr>
              <w:jc w:val="center"/>
              <w:rPr>
                <w:b/>
              </w:rPr>
            </w:pPr>
          </w:p>
        </w:tc>
        <w:tc>
          <w:tcPr>
            <w:tcW w:w="556" w:type="pct"/>
            <w:shd w:val="clear" w:color="auto" w:fill="A5FFE3" w:themeFill="accent2" w:themeFillTint="33"/>
            <w:vAlign w:val="center"/>
          </w:tcPr>
          <w:p w14:paraId="26A5B9C4" w14:textId="77777777" w:rsidR="00CA72E5" w:rsidRPr="00171586" w:rsidRDefault="00CA72E5" w:rsidP="00B16B49">
            <w:pPr>
              <w:jc w:val="center"/>
              <w:rPr>
                <w:b/>
              </w:rPr>
            </w:pPr>
          </w:p>
        </w:tc>
        <w:tc>
          <w:tcPr>
            <w:tcW w:w="557" w:type="pct"/>
            <w:shd w:val="clear" w:color="auto" w:fill="A5FFE3" w:themeFill="accent2" w:themeFillTint="33"/>
            <w:vAlign w:val="center"/>
          </w:tcPr>
          <w:p w14:paraId="3ED45025" w14:textId="77777777" w:rsidR="00CA72E5" w:rsidRPr="00171586" w:rsidRDefault="00CA72E5" w:rsidP="00B16B49">
            <w:pPr>
              <w:jc w:val="center"/>
              <w:rPr>
                <w:b/>
              </w:rPr>
            </w:pPr>
          </w:p>
        </w:tc>
      </w:tr>
      <w:tr w:rsidR="00CA72E5" w:rsidRPr="001700FE" w14:paraId="63F37530" w14:textId="77777777" w:rsidTr="00B16B49">
        <w:trPr>
          <w:trHeight w:val="300"/>
        </w:trPr>
        <w:tc>
          <w:tcPr>
            <w:tcW w:w="2219" w:type="pct"/>
            <w:vAlign w:val="center"/>
          </w:tcPr>
          <w:p w14:paraId="71530822" w14:textId="77777777" w:rsidR="00CA72E5" w:rsidRPr="001700FE" w:rsidRDefault="00CA72E5" w:rsidP="00B16B49">
            <w:r w:rsidRPr="001700FE">
              <w:rPr>
                <w:rFonts w:eastAsia="Aptos"/>
              </w:rPr>
              <w:t>Demonstration</w:t>
            </w:r>
          </w:p>
        </w:tc>
        <w:tc>
          <w:tcPr>
            <w:tcW w:w="556" w:type="pct"/>
            <w:shd w:val="clear" w:color="auto" w:fill="DAFCFF" w:themeFill="accent6" w:themeFillTint="33"/>
            <w:vAlign w:val="center"/>
          </w:tcPr>
          <w:p w14:paraId="196BF910"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5E3EA644"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A5FFE3" w:themeFill="accent2" w:themeFillTint="33"/>
            <w:vAlign w:val="center"/>
          </w:tcPr>
          <w:p w14:paraId="247D552C" w14:textId="77777777" w:rsidR="00CA72E5" w:rsidRPr="00171586" w:rsidRDefault="00CA72E5" w:rsidP="00B16B49">
            <w:pPr>
              <w:jc w:val="center"/>
              <w:rPr>
                <w:b/>
              </w:rPr>
            </w:pPr>
          </w:p>
        </w:tc>
        <w:tc>
          <w:tcPr>
            <w:tcW w:w="556" w:type="pct"/>
            <w:shd w:val="clear" w:color="auto" w:fill="A5FFE3" w:themeFill="accent2" w:themeFillTint="33"/>
          </w:tcPr>
          <w:p w14:paraId="773943FC" w14:textId="77777777" w:rsidR="00CA72E5" w:rsidRPr="00171586" w:rsidRDefault="00CA72E5" w:rsidP="00B16B49">
            <w:pPr>
              <w:jc w:val="center"/>
              <w:rPr>
                <w:b/>
              </w:rPr>
            </w:pPr>
          </w:p>
        </w:tc>
        <w:tc>
          <w:tcPr>
            <w:tcW w:w="557" w:type="pct"/>
            <w:shd w:val="clear" w:color="auto" w:fill="A5FFE3" w:themeFill="accent2" w:themeFillTint="33"/>
            <w:vAlign w:val="center"/>
          </w:tcPr>
          <w:p w14:paraId="6AF213EE" w14:textId="77777777" w:rsidR="00CA72E5" w:rsidRPr="00171586" w:rsidRDefault="00CA72E5" w:rsidP="00B16B49">
            <w:pPr>
              <w:jc w:val="center"/>
              <w:rPr>
                <w:b/>
              </w:rPr>
            </w:pPr>
          </w:p>
        </w:tc>
      </w:tr>
      <w:tr w:rsidR="00CA72E5" w:rsidRPr="001700FE" w14:paraId="58FAF801" w14:textId="77777777" w:rsidTr="00B16B49">
        <w:trPr>
          <w:trHeight w:val="300"/>
        </w:trPr>
        <w:tc>
          <w:tcPr>
            <w:tcW w:w="2219" w:type="pct"/>
            <w:vAlign w:val="center"/>
          </w:tcPr>
          <w:p w14:paraId="0DE3A9A7" w14:textId="77777777" w:rsidR="00CA72E5" w:rsidRPr="001700FE" w:rsidRDefault="00CA72E5" w:rsidP="00B16B49">
            <w:r w:rsidRPr="001700FE">
              <w:rPr>
                <w:rFonts w:eastAsia="Aptos"/>
              </w:rPr>
              <w:t>Deployment</w:t>
            </w:r>
          </w:p>
        </w:tc>
        <w:tc>
          <w:tcPr>
            <w:tcW w:w="556" w:type="pct"/>
            <w:shd w:val="clear" w:color="auto" w:fill="DAFCFF" w:themeFill="accent6" w:themeFillTint="33"/>
            <w:vAlign w:val="center"/>
          </w:tcPr>
          <w:p w14:paraId="71F01EC4"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23D940C3"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6096408B"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tcPr>
          <w:p w14:paraId="7F370E2D" w14:textId="77777777" w:rsidR="00CA72E5" w:rsidRPr="00171586" w:rsidRDefault="00CA72E5" w:rsidP="00B16B49">
            <w:pPr>
              <w:jc w:val="center"/>
              <w:rPr>
                <w:b/>
              </w:rPr>
            </w:pPr>
            <w:r w:rsidRPr="00171586">
              <w:rPr>
                <w:rFonts w:ascii="Segoe UI Symbol" w:hAnsi="Segoe UI Symbol" w:cs="Segoe UI Symbol"/>
                <w:b/>
              </w:rPr>
              <w:t>✓</w:t>
            </w:r>
          </w:p>
        </w:tc>
        <w:tc>
          <w:tcPr>
            <w:tcW w:w="557" w:type="pct"/>
            <w:shd w:val="clear" w:color="auto" w:fill="DAFCFF" w:themeFill="accent6" w:themeFillTint="33"/>
            <w:vAlign w:val="center"/>
          </w:tcPr>
          <w:p w14:paraId="7E27D3F2" w14:textId="77777777" w:rsidR="00CA72E5" w:rsidRPr="00171586" w:rsidRDefault="00CA72E5" w:rsidP="00B16B49">
            <w:pPr>
              <w:jc w:val="center"/>
              <w:rPr>
                <w:b/>
              </w:rPr>
            </w:pPr>
            <w:r w:rsidRPr="00171586">
              <w:rPr>
                <w:rFonts w:ascii="Segoe UI Symbol" w:hAnsi="Segoe UI Symbol" w:cs="Segoe UI Symbol"/>
                <w:b/>
              </w:rPr>
              <w:t>✓</w:t>
            </w:r>
          </w:p>
        </w:tc>
      </w:tr>
      <w:tr w:rsidR="00CA72E5" w:rsidRPr="001700FE" w14:paraId="5BB387AA" w14:textId="77777777" w:rsidTr="00B16B49">
        <w:trPr>
          <w:trHeight w:val="300"/>
        </w:trPr>
        <w:tc>
          <w:tcPr>
            <w:tcW w:w="2219" w:type="pct"/>
            <w:vAlign w:val="center"/>
          </w:tcPr>
          <w:p w14:paraId="2F091967" w14:textId="77777777" w:rsidR="00CA72E5" w:rsidRPr="001700FE" w:rsidRDefault="00CA72E5" w:rsidP="00B16B49">
            <w:r w:rsidRPr="001700FE">
              <w:rPr>
                <w:rFonts w:eastAsia="Aptos"/>
              </w:rPr>
              <w:t>Market accumulation</w:t>
            </w:r>
          </w:p>
        </w:tc>
        <w:tc>
          <w:tcPr>
            <w:tcW w:w="556" w:type="pct"/>
            <w:vAlign w:val="center"/>
          </w:tcPr>
          <w:p w14:paraId="0B20527F" w14:textId="77777777" w:rsidR="00CA72E5" w:rsidRPr="00171586" w:rsidRDefault="00CA72E5" w:rsidP="00B16B49">
            <w:pPr>
              <w:jc w:val="center"/>
              <w:rPr>
                <w:b/>
              </w:rPr>
            </w:pPr>
          </w:p>
        </w:tc>
        <w:tc>
          <w:tcPr>
            <w:tcW w:w="556" w:type="pct"/>
            <w:shd w:val="clear" w:color="auto" w:fill="DAFCFF" w:themeFill="accent6" w:themeFillTint="33"/>
            <w:vAlign w:val="center"/>
          </w:tcPr>
          <w:p w14:paraId="72098FF3"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73E457DB"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tcPr>
          <w:p w14:paraId="1A0B730F" w14:textId="77777777" w:rsidR="00CA72E5" w:rsidRPr="00171586" w:rsidRDefault="00CA72E5" w:rsidP="00B16B49">
            <w:pPr>
              <w:jc w:val="center"/>
              <w:rPr>
                <w:b/>
              </w:rPr>
            </w:pPr>
            <w:r w:rsidRPr="00171586">
              <w:rPr>
                <w:rFonts w:ascii="Segoe UI Symbol" w:hAnsi="Segoe UI Symbol" w:cs="Segoe UI Symbol"/>
                <w:b/>
              </w:rPr>
              <w:t>✓</w:t>
            </w:r>
          </w:p>
        </w:tc>
        <w:tc>
          <w:tcPr>
            <w:tcW w:w="557" w:type="pct"/>
            <w:shd w:val="clear" w:color="auto" w:fill="DAFCFF" w:themeFill="accent6" w:themeFillTint="33"/>
            <w:vAlign w:val="center"/>
          </w:tcPr>
          <w:p w14:paraId="4449BBB9" w14:textId="77777777" w:rsidR="00CA72E5" w:rsidRPr="00171586" w:rsidRDefault="00CA72E5" w:rsidP="00B16B49">
            <w:pPr>
              <w:jc w:val="center"/>
              <w:rPr>
                <w:b/>
              </w:rPr>
            </w:pPr>
            <w:r w:rsidRPr="00171586">
              <w:rPr>
                <w:rFonts w:ascii="Segoe UI Symbol" w:hAnsi="Segoe UI Symbol" w:cs="Segoe UI Symbol"/>
                <w:b/>
              </w:rPr>
              <w:t>✓</w:t>
            </w:r>
          </w:p>
        </w:tc>
      </w:tr>
      <w:tr w:rsidR="00CA72E5" w:rsidRPr="001700FE" w14:paraId="37AF85D4" w14:textId="77777777" w:rsidTr="00B16B49">
        <w:trPr>
          <w:trHeight w:val="300"/>
        </w:trPr>
        <w:tc>
          <w:tcPr>
            <w:tcW w:w="2219" w:type="pct"/>
            <w:vAlign w:val="center"/>
          </w:tcPr>
          <w:p w14:paraId="11686E56" w14:textId="77777777" w:rsidR="00CA72E5" w:rsidRPr="001700FE" w:rsidRDefault="00CA72E5" w:rsidP="00B16B49">
            <w:r w:rsidRPr="001700FE">
              <w:rPr>
                <w:rFonts w:eastAsia="Aptos"/>
              </w:rPr>
              <w:t>Diffusion</w:t>
            </w:r>
          </w:p>
        </w:tc>
        <w:tc>
          <w:tcPr>
            <w:tcW w:w="556" w:type="pct"/>
            <w:vAlign w:val="center"/>
          </w:tcPr>
          <w:p w14:paraId="6E5D8A18" w14:textId="77777777" w:rsidR="00CA72E5" w:rsidRPr="00171586" w:rsidRDefault="00CA72E5" w:rsidP="00B16B49">
            <w:pPr>
              <w:jc w:val="center"/>
              <w:rPr>
                <w:b/>
              </w:rPr>
            </w:pPr>
          </w:p>
        </w:tc>
        <w:tc>
          <w:tcPr>
            <w:tcW w:w="556" w:type="pct"/>
            <w:shd w:val="clear" w:color="auto" w:fill="DAFCFF" w:themeFill="accent6" w:themeFillTint="33"/>
            <w:vAlign w:val="center"/>
          </w:tcPr>
          <w:p w14:paraId="1587A50B"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0FD3673F"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tcPr>
          <w:p w14:paraId="3C2CA3F8" w14:textId="77777777" w:rsidR="00CA72E5" w:rsidRPr="00171586" w:rsidRDefault="00CA72E5" w:rsidP="00B16B49">
            <w:pPr>
              <w:jc w:val="center"/>
              <w:rPr>
                <w:b/>
              </w:rPr>
            </w:pPr>
            <w:r w:rsidRPr="00171586">
              <w:rPr>
                <w:rFonts w:ascii="Segoe UI Symbol" w:hAnsi="Segoe UI Symbol" w:cs="Segoe UI Symbol"/>
                <w:b/>
              </w:rPr>
              <w:t>✓</w:t>
            </w:r>
          </w:p>
        </w:tc>
        <w:tc>
          <w:tcPr>
            <w:tcW w:w="557" w:type="pct"/>
            <w:shd w:val="clear" w:color="auto" w:fill="DAFCFF" w:themeFill="accent6" w:themeFillTint="33"/>
            <w:vAlign w:val="center"/>
          </w:tcPr>
          <w:p w14:paraId="179B30E5" w14:textId="77777777" w:rsidR="00CA72E5" w:rsidRPr="00171586" w:rsidRDefault="00CA72E5" w:rsidP="00B16B49">
            <w:pPr>
              <w:jc w:val="center"/>
              <w:rPr>
                <w:b/>
              </w:rPr>
            </w:pPr>
            <w:r w:rsidRPr="00171586">
              <w:rPr>
                <w:rFonts w:ascii="Segoe UI Symbol" w:hAnsi="Segoe UI Symbol" w:cs="Segoe UI Symbol"/>
                <w:b/>
              </w:rPr>
              <w:t>✓</w:t>
            </w:r>
          </w:p>
        </w:tc>
      </w:tr>
      <w:tr w:rsidR="00CA72E5" w:rsidRPr="00562A5A" w14:paraId="6DDB33D2" w14:textId="77777777" w:rsidTr="00B16B49">
        <w:trPr>
          <w:trHeight w:val="300"/>
        </w:trPr>
        <w:tc>
          <w:tcPr>
            <w:tcW w:w="2219" w:type="pct"/>
            <w:shd w:val="clear" w:color="auto" w:fill="D6E6FF" w:themeFill="text2" w:themeFillTint="1A"/>
            <w:vAlign w:val="center"/>
          </w:tcPr>
          <w:p w14:paraId="63ADD82D" w14:textId="77777777" w:rsidR="00CA72E5" w:rsidRPr="00562A5A" w:rsidRDefault="00CA72E5" w:rsidP="00B16B49">
            <w:pPr>
              <w:rPr>
                <w:b/>
              </w:rPr>
            </w:pPr>
            <w:r w:rsidRPr="00562A5A">
              <w:rPr>
                <w:rFonts w:eastAsia="Aptos"/>
                <w:b/>
              </w:rPr>
              <w:lastRenderedPageBreak/>
              <w:t>Risk appetite</w:t>
            </w:r>
          </w:p>
        </w:tc>
        <w:tc>
          <w:tcPr>
            <w:tcW w:w="556" w:type="pct"/>
            <w:shd w:val="clear" w:color="auto" w:fill="D6E6FF" w:themeFill="text2" w:themeFillTint="1A"/>
            <w:vAlign w:val="center"/>
          </w:tcPr>
          <w:p w14:paraId="1F4B1F1A" w14:textId="77777777" w:rsidR="00CA72E5" w:rsidRPr="00562A5A" w:rsidRDefault="00CA72E5" w:rsidP="00B16B49">
            <w:pPr>
              <w:jc w:val="center"/>
              <w:rPr>
                <w:b/>
              </w:rPr>
            </w:pPr>
          </w:p>
        </w:tc>
        <w:tc>
          <w:tcPr>
            <w:tcW w:w="556" w:type="pct"/>
            <w:shd w:val="clear" w:color="auto" w:fill="D6E6FF" w:themeFill="text2" w:themeFillTint="1A"/>
            <w:vAlign w:val="center"/>
          </w:tcPr>
          <w:p w14:paraId="1FF4D960" w14:textId="77777777" w:rsidR="00CA72E5" w:rsidRPr="00562A5A" w:rsidRDefault="00CA72E5" w:rsidP="00B16B49">
            <w:pPr>
              <w:jc w:val="center"/>
              <w:rPr>
                <w:b/>
              </w:rPr>
            </w:pPr>
          </w:p>
        </w:tc>
        <w:tc>
          <w:tcPr>
            <w:tcW w:w="556" w:type="pct"/>
            <w:shd w:val="clear" w:color="auto" w:fill="D6E6FF" w:themeFill="text2" w:themeFillTint="1A"/>
            <w:vAlign w:val="center"/>
          </w:tcPr>
          <w:p w14:paraId="0F4402CE" w14:textId="77777777" w:rsidR="00CA72E5" w:rsidRPr="00562A5A" w:rsidRDefault="00CA72E5" w:rsidP="00B16B49">
            <w:pPr>
              <w:jc w:val="center"/>
              <w:rPr>
                <w:b/>
              </w:rPr>
            </w:pPr>
          </w:p>
        </w:tc>
        <w:tc>
          <w:tcPr>
            <w:tcW w:w="556" w:type="pct"/>
            <w:shd w:val="clear" w:color="auto" w:fill="D6E6FF" w:themeFill="text2" w:themeFillTint="1A"/>
            <w:vAlign w:val="center"/>
          </w:tcPr>
          <w:p w14:paraId="3F2C64E3" w14:textId="77777777" w:rsidR="00CA72E5" w:rsidRPr="00562A5A" w:rsidRDefault="00CA72E5" w:rsidP="00B16B49">
            <w:pPr>
              <w:jc w:val="center"/>
              <w:rPr>
                <w:b/>
              </w:rPr>
            </w:pPr>
          </w:p>
        </w:tc>
        <w:tc>
          <w:tcPr>
            <w:tcW w:w="557" w:type="pct"/>
            <w:shd w:val="clear" w:color="auto" w:fill="D6E6FF" w:themeFill="text2" w:themeFillTint="1A"/>
            <w:vAlign w:val="center"/>
          </w:tcPr>
          <w:p w14:paraId="25274051" w14:textId="77777777" w:rsidR="00CA72E5" w:rsidRPr="00562A5A" w:rsidRDefault="00CA72E5" w:rsidP="00B16B49">
            <w:pPr>
              <w:jc w:val="center"/>
              <w:rPr>
                <w:b/>
              </w:rPr>
            </w:pPr>
          </w:p>
        </w:tc>
      </w:tr>
      <w:tr w:rsidR="00CA72E5" w:rsidRPr="001700FE" w14:paraId="191D13AD" w14:textId="77777777" w:rsidTr="00806C02">
        <w:trPr>
          <w:trHeight w:val="300"/>
        </w:trPr>
        <w:tc>
          <w:tcPr>
            <w:tcW w:w="2219" w:type="pct"/>
            <w:vAlign w:val="center"/>
          </w:tcPr>
          <w:p w14:paraId="0D5FFBAC" w14:textId="77777777" w:rsidR="00CA72E5" w:rsidRPr="001700FE" w:rsidRDefault="00CA72E5" w:rsidP="00B16B49">
            <w:r w:rsidRPr="001700FE">
              <w:rPr>
                <w:rFonts w:eastAsia="Aptos"/>
              </w:rPr>
              <w:t>Low</w:t>
            </w:r>
          </w:p>
        </w:tc>
        <w:tc>
          <w:tcPr>
            <w:tcW w:w="556" w:type="pct"/>
            <w:vAlign w:val="center"/>
          </w:tcPr>
          <w:p w14:paraId="3646BD0B" w14:textId="77777777" w:rsidR="00CA72E5" w:rsidRPr="00171586" w:rsidRDefault="00CA72E5" w:rsidP="00B16B49">
            <w:pPr>
              <w:jc w:val="center"/>
              <w:rPr>
                <w:b/>
              </w:rPr>
            </w:pPr>
          </w:p>
        </w:tc>
        <w:tc>
          <w:tcPr>
            <w:tcW w:w="556" w:type="pct"/>
            <w:shd w:val="clear" w:color="auto" w:fill="DAFCFF" w:themeFill="accent6" w:themeFillTint="33"/>
            <w:vAlign w:val="center"/>
          </w:tcPr>
          <w:p w14:paraId="52CF1461"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tcPr>
          <w:p w14:paraId="6D4DAEB8"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5834AEBF" w14:textId="77777777" w:rsidR="00CA72E5" w:rsidRPr="00171586" w:rsidRDefault="00CA72E5" w:rsidP="00B16B49">
            <w:pPr>
              <w:jc w:val="center"/>
              <w:rPr>
                <w:b/>
              </w:rPr>
            </w:pPr>
            <w:r w:rsidRPr="00171586">
              <w:rPr>
                <w:rFonts w:ascii="Segoe UI Symbol" w:hAnsi="Segoe UI Symbol" w:cs="Segoe UI Symbol"/>
                <w:b/>
              </w:rPr>
              <w:t>✓</w:t>
            </w:r>
          </w:p>
        </w:tc>
        <w:tc>
          <w:tcPr>
            <w:tcW w:w="557" w:type="pct"/>
            <w:shd w:val="clear" w:color="auto" w:fill="8EFFDC" w:themeFill="accent2" w:themeFillTint="40"/>
            <w:vAlign w:val="center"/>
          </w:tcPr>
          <w:p w14:paraId="7820B06C" w14:textId="47A9455D" w:rsidR="00CA72E5" w:rsidRPr="00171586" w:rsidRDefault="00CA72E5" w:rsidP="00B16B49">
            <w:pPr>
              <w:jc w:val="center"/>
              <w:rPr>
                <w:b/>
              </w:rPr>
            </w:pPr>
          </w:p>
        </w:tc>
      </w:tr>
      <w:tr w:rsidR="00CA72E5" w:rsidRPr="001700FE" w14:paraId="7B96A4EB" w14:textId="77777777" w:rsidTr="00806C02">
        <w:trPr>
          <w:trHeight w:val="300"/>
        </w:trPr>
        <w:tc>
          <w:tcPr>
            <w:tcW w:w="2219" w:type="pct"/>
            <w:vAlign w:val="center"/>
          </w:tcPr>
          <w:p w14:paraId="0B8891D1" w14:textId="77777777" w:rsidR="00CA72E5" w:rsidRPr="001700FE" w:rsidRDefault="00CA72E5" w:rsidP="00B16B49">
            <w:r w:rsidRPr="001700FE">
              <w:rPr>
                <w:rFonts w:eastAsia="Aptos"/>
              </w:rPr>
              <w:t>Medium</w:t>
            </w:r>
          </w:p>
        </w:tc>
        <w:tc>
          <w:tcPr>
            <w:tcW w:w="556" w:type="pct"/>
            <w:shd w:val="clear" w:color="auto" w:fill="DAFCFF" w:themeFill="accent6" w:themeFillTint="33"/>
            <w:vAlign w:val="center"/>
          </w:tcPr>
          <w:p w14:paraId="114EBAB9"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A5FFE3" w:themeFill="accent2" w:themeFillTint="33"/>
            <w:vAlign w:val="center"/>
          </w:tcPr>
          <w:p w14:paraId="145DFCBD" w14:textId="77777777" w:rsidR="00CA72E5" w:rsidRPr="00171586" w:rsidRDefault="00CA72E5" w:rsidP="00B16B49">
            <w:pPr>
              <w:jc w:val="center"/>
              <w:rPr>
                <w:b/>
              </w:rPr>
            </w:pPr>
          </w:p>
        </w:tc>
        <w:tc>
          <w:tcPr>
            <w:tcW w:w="556" w:type="pct"/>
            <w:shd w:val="clear" w:color="auto" w:fill="A5FFE3" w:themeFill="accent2" w:themeFillTint="33"/>
          </w:tcPr>
          <w:p w14:paraId="74B5949B" w14:textId="77777777" w:rsidR="00CA72E5" w:rsidRPr="00171586" w:rsidRDefault="00CA72E5" w:rsidP="00B16B49">
            <w:pPr>
              <w:jc w:val="center"/>
              <w:rPr>
                <w:b/>
              </w:rPr>
            </w:pPr>
          </w:p>
        </w:tc>
        <w:tc>
          <w:tcPr>
            <w:tcW w:w="556" w:type="pct"/>
            <w:shd w:val="clear" w:color="auto" w:fill="A5FFE3" w:themeFill="accent2" w:themeFillTint="33"/>
            <w:vAlign w:val="center"/>
          </w:tcPr>
          <w:p w14:paraId="7512F61E" w14:textId="77777777" w:rsidR="00CA72E5" w:rsidRPr="00171586" w:rsidRDefault="00CA72E5" w:rsidP="00B16B49">
            <w:pPr>
              <w:jc w:val="center"/>
              <w:rPr>
                <w:b/>
              </w:rPr>
            </w:pPr>
          </w:p>
        </w:tc>
        <w:tc>
          <w:tcPr>
            <w:tcW w:w="557" w:type="pct"/>
            <w:shd w:val="clear" w:color="auto" w:fill="DAFCFF" w:themeFill="accent6" w:themeFillTint="33"/>
            <w:vAlign w:val="center"/>
          </w:tcPr>
          <w:p w14:paraId="7378C7D1" w14:textId="2D73C72A" w:rsidR="00CA72E5" w:rsidRPr="00171586" w:rsidRDefault="00806C02" w:rsidP="00B16B49">
            <w:pPr>
              <w:jc w:val="center"/>
              <w:rPr>
                <w:b/>
              </w:rPr>
            </w:pPr>
            <w:r w:rsidRPr="00171586">
              <w:rPr>
                <w:rFonts w:ascii="Segoe UI Symbol" w:hAnsi="Segoe UI Symbol" w:cs="Segoe UI Symbol"/>
                <w:b/>
              </w:rPr>
              <w:t>✓</w:t>
            </w:r>
          </w:p>
        </w:tc>
      </w:tr>
      <w:tr w:rsidR="00CA72E5" w:rsidRPr="001700FE" w14:paraId="1321832E" w14:textId="77777777" w:rsidTr="00806C02">
        <w:trPr>
          <w:trHeight w:val="300"/>
        </w:trPr>
        <w:tc>
          <w:tcPr>
            <w:tcW w:w="2219" w:type="pct"/>
            <w:vAlign w:val="center"/>
          </w:tcPr>
          <w:p w14:paraId="5D41BF49" w14:textId="77777777" w:rsidR="00CA72E5" w:rsidRPr="001700FE" w:rsidRDefault="00CA72E5" w:rsidP="00B16B49">
            <w:r w:rsidRPr="001700FE">
              <w:rPr>
                <w:rFonts w:eastAsia="Aptos"/>
              </w:rPr>
              <w:t>High</w:t>
            </w:r>
          </w:p>
        </w:tc>
        <w:tc>
          <w:tcPr>
            <w:tcW w:w="556" w:type="pct"/>
            <w:shd w:val="clear" w:color="auto" w:fill="A5FFE3" w:themeFill="accent2" w:themeFillTint="33"/>
            <w:vAlign w:val="center"/>
          </w:tcPr>
          <w:p w14:paraId="3E542D5C" w14:textId="77777777" w:rsidR="00CA72E5" w:rsidRPr="00171586" w:rsidRDefault="00CA72E5" w:rsidP="00B16B49">
            <w:pPr>
              <w:jc w:val="center"/>
              <w:rPr>
                <w:b/>
              </w:rPr>
            </w:pPr>
          </w:p>
        </w:tc>
        <w:tc>
          <w:tcPr>
            <w:tcW w:w="556" w:type="pct"/>
            <w:shd w:val="clear" w:color="auto" w:fill="A5FFE3" w:themeFill="accent2" w:themeFillTint="33"/>
            <w:vAlign w:val="center"/>
          </w:tcPr>
          <w:p w14:paraId="3E5CF418" w14:textId="77777777" w:rsidR="00CA72E5" w:rsidRPr="00171586" w:rsidRDefault="00CA72E5" w:rsidP="00B16B49">
            <w:pPr>
              <w:jc w:val="center"/>
              <w:rPr>
                <w:b/>
              </w:rPr>
            </w:pPr>
          </w:p>
        </w:tc>
        <w:tc>
          <w:tcPr>
            <w:tcW w:w="556" w:type="pct"/>
            <w:shd w:val="clear" w:color="auto" w:fill="A5FFE3" w:themeFill="accent2" w:themeFillTint="33"/>
            <w:vAlign w:val="center"/>
          </w:tcPr>
          <w:p w14:paraId="0F0D161D" w14:textId="77777777" w:rsidR="00CA72E5" w:rsidRPr="00171586" w:rsidRDefault="00CA72E5" w:rsidP="00B16B49">
            <w:pPr>
              <w:jc w:val="center"/>
              <w:rPr>
                <w:b/>
              </w:rPr>
            </w:pPr>
          </w:p>
        </w:tc>
        <w:tc>
          <w:tcPr>
            <w:tcW w:w="556" w:type="pct"/>
            <w:shd w:val="clear" w:color="auto" w:fill="A5FFE3" w:themeFill="accent2" w:themeFillTint="33"/>
            <w:vAlign w:val="center"/>
          </w:tcPr>
          <w:p w14:paraId="0415FE67" w14:textId="77777777" w:rsidR="00CA72E5" w:rsidRPr="00171586" w:rsidRDefault="00CA72E5" w:rsidP="00B16B49">
            <w:pPr>
              <w:jc w:val="center"/>
              <w:rPr>
                <w:b/>
              </w:rPr>
            </w:pPr>
          </w:p>
        </w:tc>
        <w:tc>
          <w:tcPr>
            <w:tcW w:w="557" w:type="pct"/>
            <w:shd w:val="clear" w:color="auto" w:fill="8EFFDC" w:themeFill="accent2" w:themeFillTint="40"/>
            <w:vAlign w:val="center"/>
          </w:tcPr>
          <w:p w14:paraId="5ACD5ACE" w14:textId="77777777" w:rsidR="00CA72E5" w:rsidRPr="00171586" w:rsidRDefault="00CA72E5" w:rsidP="00B16B49">
            <w:pPr>
              <w:jc w:val="center"/>
              <w:rPr>
                <w:b/>
              </w:rPr>
            </w:pPr>
          </w:p>
        </w:tc>
      </w:tr>
      <w:tr w:rsidR="00CA72E5" w:rsidRPr="00562A5A" w14:paraId="281F3274" w14:textId="77777777" w:rsidTr="00B16B49">
        <w:trPr>
          <w:trHeight w:val="300"/>
        </w:trPr>
        <w:tc>
          <w:tcPr>
            <w:tcW w:w="2219" w:type="pct"/>
            <w:shd w:val="clear" w:color="auto" w:fill="D6E6FF" w:themeFill="text2" w:themeFillTint="1A"/>
            <w:vAlign w:val="center"/>
          </w:tcPr>
          <w:p w14:paraId="07B2363C" w14:textId="77777777" w:rsidR="00CA72E5" w:rsidRPr="00562A5A" w:rsidRDefault="00CA72E5" w:rsidP="00B16B49">
            <w:pPr>
              <w:rPr>
                <w:b/>
              </w:rPr>
            </w:pPr>
            <w:r w:rsidRPr="00562A5A">
              <w:rPr>
                <w:rFonts w:eastAsia="Aptos"/>
                <w:b/>
              </w:rPr>
              <w:t>Expected return</w:t>
            </w:r>
          </w:p>
        </w:tc>
        <w:tc>
          <w:tcPr>
            <w:tcW w:w="556" w:type="pct"/>
            <w:shd w:val="clear" w:color="auto" w:fill="D6E6FF" w:themeFill="text2" w:themeFillTint="1A"/>
            <w:vAlign w:val="center"/>
          </w:tcPr>
          <w:p w14:paraId="5AD749F4" w14:textId="77777777" w:rsidR="00CA72E5" w:rsidRPr="00562A5A" w:rsidRDefault="00CA72E5" w:rsidP="00B16B49">
            <w:pPr>
              <w:jc w:val="center"/>
              <w:rPr>
                <w:b/>
              </w:rPr>
            </w:pPr>
          </w:p>
        </w:tc>
        <w:tc>
          <w:tcPr>
            <w:tcW w:w="556" w:type="pct"/>
            <w:shd w:val="clear" w:color="auto" w:fill="D6E6FF" w:themeFill="text2" w:themeFillTint="1A"/>
            <w:vAlign w:val="center"/>
          </w:tcPr>
          <w:p w14:paraId="103CEB49" w14:textId="77777777" w:rsidR="00CA72E5" w:rsidRPr="00562A5A" w:rsidRDefault="00CA72E5" w:rsidP="00B16B49">
            <w:pPr>
              <w:jc w:val="center"/>
              <w:rPr>
                <w:b/>
              </w:rPr>
            </w:pPr>
          </w:p>
        </w:tc>
        <w:tc>
          <w:tcPr>
            <w:tcW w:w="556" w:type="pct"/>
            <w:shd w:val="clear" w:color="auto" w:fill="D6E6FF" w:themeFill="text2" w:themeFillTint="1A"/>
            <w:vAlign w:val="center"/>
          </w:tcPr>
          <w:p w14:paraId="0C1B1A9A" w14:textId="77777777" w:rsidR="00CA72E5" w:rsidRPr="00562A5A" w:rsidRDefault="00CA72E5" w:rsidP="00B16B49">
            <w:pPr>
              <w:jc w:val="center"/>
              <w:rPr>
                <w:b/>
              </w:rPr>
            </w:pPr>
          </w:p>
        </w:tc>
        <w:tc>
          <w:tcPr>
            <w:tcW w:w="556" w:type="pct"/>
            <w:shd w:val="clear" w:color="auto" w:fill="D6E6FF" w:themeFill="text2" w:themeFillTint="1A"/>
            <w:vAlign w:val="center"/>
          </w:tcPr>
          <w:p w14:paraId="06D83993" w14:textId="77777777" w:rsidR="00CA72E5" w:rsidRPr="00562A5A" w:rsidRDefault="00CA72E5" w:rsidP="00B16B49">
            <w:pPr>
              <w:jc w:val="center"/>
              <w:rPr>
                <w:b/>
              </w:rPr>
            </w:pPr>
          </w:p>
        </w:tc>
        <w:tc>
          <w:tcPr>
            <w:tcW w:w="557" w:type="pct"/>
            <w:shd w:val="clear" w:color="auto" w:fill="D6E6FF" w:themeFill="text2" w:themeFillTint="1A"/>
            <w:vAlign w:val="center"/>
          </w:tcPr>
          <w:p w14:paraId="302575A6" w14:textId="77777777" w:rsidR="00CA72E5" w:rsidRPr="00562A5A" w:rsidRDefault="00CA72E5" w:rsidP="00B16B49">
            <w:pPr>
              <w:jc w:val="center"/>
              <w:rPr>
                <w:b/>
              </w:rPr>
            </w:pPr>
          </w:p>
        </w:tc>
      </w:tr>
      <w:tr w:rsidR="00CA72E5" w:rsidRPr="001700FE" w14:paraId="47988FA8" w14:textId="77777777" w:rsidTr="00B16B49">
        <w:trPr>
          <w:trHeight w:val="300"/>
        </w:trPr>
        <w:tc>
          <w:tcPr>
            <w:tcW w:w="2219" w:type="pct"/>
            <w:vAlign w:val="center"/>
          </w:tcPr>
          <w:p w14:paraId="4FDF5B1D" w14:textId="77777777" w:rsidR="00CA72E5" w:rsidRPr="001700FE" w:rsidRDefault="00CA72E5" w:rsidP="00B16B49">
            <w:r w:rsidRPr="001700FE">
              <w:rPr>
                <w:rFonts w:eastAsia="Aptos"/>
              </w:rPr>
              <w:t>Nil or low (e</w:t>
            </w:r>
            <w:r>
              <w:rPr>
                <w:rFonts w:eastAsia="Aptos"/>
              </w:rPr>
              <w:t>.</w:t>
            </w:r>
            <w:r w:rsidRPr="001700FE">
              <w:rPr>
                <w:rFonts w:eastAsia="Aptos"/>
              </w:rPr>
              <w:t>g</w:t>
            </w:r>
            <w:r>
              <w:rPr>
                <w:rFonts w:eastAsia="Aptos"/>
              </w:rPr>
              <w:t>.</w:t>
            </w:r>
            <w:r w:rsidRPr="001700FE">
              <w:rPr>
                <w:rFonts w:eastAsia="Aptos"/>
              </w:rPr>
              <w:t xml:space="preserve"> grants)</w:t>
            </w:r>
          </w:p>
        </w:tc>
        <w:tc>
          <w:tcPr>
            <w:tcW w:w="556" w:type="pct"/>
            <w:shd w:val="clear" w:color="auto" w:fill="DAFCFF" w:themeFill="accent6" w:themeFillTint="33"/>
            <w:vAlign w:val="center"/>
          </w:tcPr>
          <w:p w14:paraId="46B7529C"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A5FFE3" w:themeFill="accent2" w:themeFillTint="33"/>
            <w:vAlign w:val="center"/>
          </w:tcPr>
          <w:p w14:paraId="01E8F3CE" w14:textId="77777777" w:rsidR="00CA72E5" w:rsidRPr="00171586" w:rsidRDefault="00CA72E5" w:rsidP="00B16B49">
            <w:pPr>
              <w:jc w:val="center"/>
              <w:rPr>
                <w:b/>
              </w:rPr>
            </w:pPr>
          </w:p>
        </w:tc>
        <w:tc>
          <w:tcPr>
            <w:tcW w:w="556" w:type="pct"/>
            <w:shd w:val="clear" w:color="auto" w:fill="A5FFE3" w:themeFill="accent2" w:themeFillTint="33"/>
            <w:vAlign w:val="center"/>
          </w:tcPr>
          <w:p w14:paraId="60DDE41A" w14:textId="77777777" w:rsidR="00CA72E5" w:rsidRPr="00171586" w:rsidRDefault="00CA72E5" w:rsidP="00B16B49">
            <w:pPr>
              <w:jc w:val="center"/>
              <w:rPr>
                <w:b/>
              </w:rPr>
            </w:pPr>
          </w:p>
        </w:tc>
        <w:tc>
          <w:tcPr>
            <w:tcW w:w="556" w:type="pct"/>
            <w:shd w:val="clear" w:color="auto" w:fill="A5FFE3" w:themeFill="accent2" w:themeFillTint="33"/>
            <w:vAlign w:val="center"/>
          </w:tcPr>
          <w:p w14:paraId="3B84911D" w14:textId="77777777" w:rsidR="00CA72E5" w:rsidRPr="00171586" w:rsidRDefault="00CA72E5" w:rsidP="00B16B49">
            <w:pPr>
              <w:jc w:val="center"/>
              <w:rPr>
                <w:b/>
              </w:rPr>
            </w:pPr>
          </w:p>
        </w:tc>
        <w:tc>
          <w:tcPr>
            <w:tcW w:w="557" w:type="pct"/>
            <w:shd w:val="clear" w:color="auto" w:fill="A5FFE3" w:themeFill="accent2" w:themeFillTint="33"/>
            <w:vAlign w:val="center"/>
          </w:tcPr>
          <w:p w14:paraId="67BFE3F1" w14:textId="77777777" w:rsidR="00CA72E5" w:rsidRPr="00171586" w:rsidRDefault="00CA72E5" w:rsidP="00B16B49">
            <w:pPr>
              <w:jc w:val="center"/>
              <w:rPr>
                <w:b/>
              </w:rPr>
            </w:pPr>
          </w:p>
        </w:tc>
      </w:tr>
      <w:tr w:rsidR="00CA72E5" w:rsidRPr="001700FE" w14:paraId="28B20178" w14:textId="77777777" w:rsidTr="00B16B49">
        <w:trPr>
          <w:trHeight w:val="300"/>
        </w:trPr>
        <w:tc>
          <w:tcPr>
            <w:tcW w:w="2219" w:type="pct"/>
            <w:vAlign w:val="center"/>
          </w:tcPr>
          <w:p w14:paraId="42CC0A94" w14:textId="77777777" w:rsidR="00CA72E5" w:rsidRPr="001700FE" w:rsidRDefault="00CA72E5" w:rsidP="00B16B49">
            <w:r w:rsidRPr="001700FE">
              <w:rPr>
                <w:rFonts w:eastAsia="Aptos"/>
              </w:rPr>
              <w:t>Medium (e.g. debt)</w:t>
            </w:r>
          </w:p>
        </w:tc>
        <w:tc>
          <w:tcPr>
            <w:tcW w:w="556" w:type="pct"/>
            <w:vAlign w:val="center"/>
          </w:tcPr>
          <w:p w14:paraId="28BEB4D8" w14:textId="77777777" w:rsidR="00CA72E5" w:rsidRPr="00171586" w:rsidRDefault="00CA72E5" w:rsidP="00B16B49">
            <w:pPr>
              <w:jc w:val="center"/>
              <w:rPr>
                <w:b/>
              </w:rPr>
            </w:pPr>
          </w:p>
        </w:tc>
        <w:tc>
          <w:tcPr>
            <w:tcW w:w="556" w:type="pct"/>
            <w:shd w:val="clear" w:color="auto" w:fill="DAFCFF" w:themeFill="accent6" w:themeFillTint="33"/>
            <w:vAlign w:val="center"/>
          </w:tcPr>
          <w:p w14:paraId="372C9D95"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45A6322C"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13DFA20C" w14:textId="77777777" w:rsidR="00CA72E5" w:rsidRPr="00171586" w:rsidRDefault="00CA72E5" w:rsidP="00B16B49">
            <w:pPr>
              <w:jc w:val="center"/>
              <w:rPr>
                <w:b/>
              </w:rPr>
            </w:pPr>
            <w:r w:rsidRPr="00171586">
              <w:rPr>
                <w:rFonts w:ascii="Segoe UI Symbol" w:hAnsi="Segoe UI Symbol" w:cs="Segoe UI Symbol"/>
                <w:b/>
              </w:rPr>
              <w:t>✓</w:t>
            </w:r>
          </w:p>
        </w:tc>
        <w:tc>
          <w:tcPr>
            <w:tcW w:w="557" w:type="pct"/>
            <w:vAlign w:val="center"/>
          </w:tcPr>
          <w:p w14:paraId="05585498" w14:textId="77777777" w:rsidR="00CA72E5" w:rsidRPr="00171586" w:rsidRDefault="00CA72E5" w:rsidP="00B16B49">
            <w:pPr>
              <w:jc w:val="center"/>
              <w:rPr>
                <w:b/>
              </w:rPr>
            </w:pPr>
          </w:p>
        </w:tc>
      </w:tr>
      <w:tr w:rsidR="00CA72E5" w:rsidRPr="001700FE" w14:paraId="5266FE29" w14:textId="77777777" w:rsidTr="00B16B49">
        <w:trPr>
          <w:trHeight w:val="300"/>
        </w:trPr>
        <w:tc>
          <w:tcPr>
            <w:tcW w:w="2219" w:type="pct"/>
            <w:vAlign w:val="center"/>
          </w:tcPr>
          <w:p w14:paraId="4FEF1F8D" w14:textId="77777777" w:rsidR="00CA72E5" w:rsidRPr="001700FE" w:rsidRDefault="00CA72E5" w:rsidP="00B16B49">
            <w:r w:rsidRPr="001700FE">
              <w:rPr>
                <w:rFonts w:eastAsia="Aptos"/>
              </w:rPr>
              <w:t>High (e.g. equity)</w:t>
            </w:r>
          </w:p>
        </w:tc>
        <w:tc>
          <w:tcPr>
            <w:tcW w:w="556" w:type="pct"/>
            <w:vAlign w:val="center"/>
          </w:tcPr>
          <w:p w14:paraId="239A3E97" w14:textId="77777777" w:rsidR="00CA72E5" w:rsidRPr="00171586" w:rsidRDefault="00CA72E5" w:rsidP="00B16B49">
            <w:pPr>
              <w:jc w:val="center"/>
              <w:rPr>
                <w:b/>
              </w:rPr>
            </w:pPr>
          </w:p>
        </w:tc>
        <w:tc>
          <w:tcPr>
            <w:tcW w:w="556" w:type="pct"/>
            <w:vAlign w:val="center"/>
          </w:tcPr>
          <w:p w14:paraId="6F5FDC94" w14:textId="77777777" w:rsidR="00CA72E5" w:rsidRPr="00171586" w:rsidRDefault="00CA72E5" w:rsidP="00B16B49">
            <w:pPr>
              <w:jc w:val="center"/>
              <w:rPr>
                <w:b/>
              </w:rPr>
            </w:pPr>
          </w:p>
        </w:tc>
        <w:tc>
          <w:tcPr>
            <w:tcW w:w="556" w:type="pct"/>
            <w:shd w:val="clear" w:color="auto" w:fill="DAFCFF" w:themeFill="accent6" w:themeFillTint="33"/>
            <w:vAlign w:val="center"/>
          </w:tcPr>
          <w:p w14:paraId="4B9DFCAC"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06F32356" w14:textId="77777777" w:rsidR="00CA72E5" w:rsidRPr="00171586" w:rsidRDefault="00CA72E5" w:rsidP="00B16B49">
            <w:pPr>
              <w:jc w:val="center"/>
              <w:rPr>
                <w:b/>
              </w:rPr>
            </w:pPr>
            <w:r w:rsidRPr="00171586">
              <w:rPr>
                <w:rFonts w:ascii="Segoe UI Symbol" w:hAnsi="Segoe UI Symbol" w:cs="Segoe UI Symbol"/>
                <w:b/>
              </w:rPr>
              <w:t>✓</w:t>
            </w:r>
          </w:p>
        </w:tc>
        <w:tc>
          <w:tcPr>
            <w:tcW w:w="557" w:type="pct"/>
            <w:shd w:val="clear" w:color="auto" w:fill="DAFCFF" w:themeFill="accent6" w:themeFillTint="33"/>
            <w:vAlign w:val="center"/>
          </w:tcPr>
          <w:p w14:paraId="389F4D58" w14:textId="77777777" w:rsidR="00CA72E5" w:rsidRPr="00171586" w:rsidRDefault="00CA72E5" w:rsidP="00B16B49">
            <w:pPr>
              <w:jc w:val="center"/>
              <w:rPr>
                <w:b/>
              </w:rPr>
            </w:pPr>
            <w:r w:rsidRPr="00171586">
              <w:rPr>
                <w:rFonts w:ascii="Segoe UI Symbol" w:hAnsi="Segoe UI Symbol" w:cs="Segoe UI Symbol"/>
                <w:b/>
              </w:rPr>
              <w:t>✓</w:t>
            </w:r>
          </w:p>
        </w:tc>
      </w:tr>
      <w:tr w:rsidR="00CA72E5" w:rsidRPr="00562A5A" w14:paraId="46F56827" w14:textId="77777777" w:rsidTr="00B16B49">
        <w:trPr>
          <w:trHeight w:val="300"/>
        </w:trPr>
        <w:tc>
          <w:tcPr>
            <w:tcW w:w="2219" w:type="pct"/>
            <w:shd w:val="clear" w:color="auto" w:fill="D6E6FF" w:themeFill="text2" w:themeFillTint="1A"/>
            <w:vAlign w:val="center"/>
          </w:tcPr>
          <w:p w14:paraId="543158E3" w14:textId="77777777" w:rsidR="00CA72E5" w:rsidRPr="00562A5A" w:rsidRDefault="00CA72E5" w:rsidP="00B16B49">
            <w:pPr>
              <w:rPr>
                <w:b/>
              </w:rPr>
            </w:pPr>
            <w:r w:rsidRPr="00562A5A">
              <w:rPr>
                <w:rFonts w:eastAsia="Aptos"/>
                <w:b/>
              </w:rPr>
              <w:t>Quantum of capital provided</w:t>
            </w:r>
          </w:p>
        </w:tc>
        <w:tc>
          <w:tcPr>
            <w:tcW w:w="556" w:type="pct"/>
            <w:shd w:val="clear" w:color="auto" w:fill="D6E6FF" w:themeFill="text2" w:themeFillTint="1A"/>
            <w:vAlign w:val="center"/>
          </w:tcPr>
          <w:p w14:paraId="042BEF2F" w14:textId="77777777" w:rsidR="00CA72E5" w:rsidRPr="00562A5A" w:rsidRDefault="00CA72E5" w:rsidP="00B16B49">
            <w:pPr>
              <w:jc w:val="center"/>
              <w:rPr>
                <w:b/>
              </w:rPr>
            </w:pPr>
          </w:p>
        </w:tc>
        <w:tc>
          <w:tcPr>
            <w:tcW w:w="556" w:type="pct"/>
            <w:shd w:val="clear" w:color="auto" w:fill="D6E6FF" w:themeFill="text2" w:themeFillTint="1A"/>
            <w:vAlign w:val="center"/>
          </w:tcPr>
          <w:p w14:paraId="24839513" w14:textId="77777777" w:rsidR="00CA72E5" w:rsidRPr="00562A5A" w:rsidRDefault="00CA72E5" w:rsidP="00B16B49">
            <w:pPr>
              <w:jc w:val="center"/>
              <w:rPr>
                <w:b/>
              </w:rPr>
            </w:pPr>
          </w:p>
        </w:tc>
        <w:tc>
          <w:tcPr>
            <w:tcW w:w="556" w:type="pct"/>
            <w:shd w:val="clear" w:color="auto" w:fill="D6E6FF" w:themeFill="text2" w:themeFillTint="1A"/>
            <w:vAlign w:val="center"/>
          </w:tcPr>
          <w:p w14:paraId="66FAB9D0" w14:textId="77777777" w:rsidR="00CA72E5" w:rsidRPr="00562A5A" w:rsidRDefault="00CA72E5" w:rsidP="00B16B49">
            <w:pPr>
              <w:jc w:val="center"/>
              <w:rPr>
                <w:b/>
              </w:rPr>
            </w:pPr>
          </w:p>
        </w:tc>
        <w:tc>
          <w:tcPr>
            <w:tcW w:w="556" w:type="pct"/>
            <w:shd w:val="clear" w:color="auto" w:fill="D6E6FF" w:themeFill="text2" w:themeFillTint="1A"/>
            <w:vAlign w:val="center"/>
          </w:tcPr>
          <w:p w14:paraId="3BB75E71" w14:textId="77777777" w:rsidR="00CA72E5" w:rsidRPr="00562A5A" w:rsidRDefault="00CA72E5" w:rsidP="00B16B49">
            <w:pPr>
              <w:jc w:val="center"/>
              <w:rPr>
                <w:b/>
              </w:rPr>
            </w:pPr>
          </w:p>
        </w:tc>
        <w:tc>
          <w:tcPr>
            <w:tcW w:w="557" w:type="pct"/>
            <w:shd w:val="clear" w:color="auto" w:fill="D6E6FF" w:themeFill="text2" w:themeFillTint="1A"/>
            <w:vAlign w:val="center"/>
          </w:tcPr>
          <w:p w14:paraId="04AEF4E3" w14:textId="77777777" w:rsidR="00CA72E5" w:rsidRPr="00562A5A" w:rsidRDefault="00CA72E5" w:rsidP="00B16B49">
            <w:pPr>
              <w:jc w:val="center"/>
              <w:rPr>
                <w:b/>
              </w:rPr>
            </w:pPr>
          </w:p>
        </w:tc>
      </w:tr>
      <w:tr w:rsidR="00CA72E5" w:rsidRPr="001700FE" w14:paraId="3FEB31A4" w14:textId="77777777" w:rsidTr="00B16B49">
        <w:trPr>
          <w:trHeight w:val="300"/>
        </w:trPr>
        <w:tc>
          <w:tcPr>
            <w:tcW w:w="2219" w:type="pct"/>
            <w:vAlign w:val="center"/>
          </w:tcPr>
          <w:p w14:paraId="4FA98924" w14:textId="77777777" w:rsidR="00CA72E5" w:rsidRPr="001700FE" w:rsidRDefault="00CA72E5" w:rsidP="00B16B49">
            <w:r w:rsidRPr="001700FE">
              <w:rPr>
                <w:rFonts w:eastAsia="Aptos"/>
              </w:rPr>
              <w:t>Very low (&lt;$1m)</w:t>
            </w:r>
          </w:p>
        </w:tc>
        <w:tc>
          <w:tcPr>
            <w:tcW w:w="556" w:type="pct"/>
            <w:shd w:val="clear" w:color="auto" w:fill="DAFCFF" w:themeFill="accent6" w:themeFillTint="33"/>
            <w:vAlign w:val="center"/>
          </w:tcPr>
          <w:p w14:paraId="35FF1647"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A5FFE3" w:themeFill="accent2" w:themeFillTint="33"/>
            <w:vAlign w:val="center"/>
          </w:tcPr>
          <w:p w14:paraId="1606605C" w14:textId="77777777" w:rsidR="00CA72E5" w:rsidRPr="00171586" w:rsidRDefault="00CA72E5" w:rsidP="00B16B49">
            <w:pPr>
              <w:jc w:val="center"/>
              <w:rPr>
                <w:b/>
              </w:rPr>
            </w:pPr>
          </w:p>
        </w:tc>
        <w:tc>
          <w:tcPr>
            <w:tcW w:w="556" w:type="pct"/>
            <w:shd w:val="clear" w:color="auto" w:fill="A5FFE3" w:themeFill="accent2" w:themeFillTint="33"/>
            <w:vAlign w:val="center"/>
          </w:tcPr>
          <w:p w14:paraId="0DAB769A" w14:textId="77777777" w:rsidR="00CA72E5" w:rsidRPr="00171586" w:rsidRDefault="00CA72E5" w:rsidP="00B16B49">
            <w:pPr>
              <w:jc w:val="center"/>
              <w:rPr>
                <w:b/>
              </w:rPr>
            </w:pPr>
          </w:p>
        </w:tc>
        <w:tc>
          <w:tcPr>
            <w:tcW w:w="556" w:type="pct"/>
            <w:shd w:val="clear" w:color="auto" w:fill="A5FFE3" w:themeFill="accent2" w:themeFillTint="33"/>
            <w:vAlign w:val="center"/>
          </w:tcPr>
          <w:p w14:paraId="05F1A8DF" w14:textId="77777777" w:rsidR="00CA72E5" w:rsidRPr="00171586" w:rsidRDefault="00CA72E5" w:rsidP="00B16B49">
            <w:pPr>
              <w:jc w:val="center"/>
              <w:rPr>
                <w:b/>
              </w:rPr>
            </w:pPr>
          </w:p>
        </w:tc>
        <w:tc>
          <w:tcPr>
            <w:tcW w:w="557" w:type="pct"/>
            <w:shd w:val="clear" w:color="auto" w:fill="A5FFE3" w:themeFill="accent2" w:themeFillTint="33"/>
            <w:vAlign w:val="center"/>
          </w:tcPr>
          <w:p w14:paraId="22E82BF6" w14:textId="77777777" w:rsidR="00CA72E5" w:rsidRPr="00171586" w:rsidRDefault="00CA72E5" w:rsidP="00B16B49">
            <w:pPr>
              <w:jc w:val="center"/>
              <w:rPr>
                <w:b/>
              </w:rPr>
            </w:pPr>
          </w:p>
        </w:tc>
      </w:tr>
      <w:tr w:rsidR="00CA72E5" w:rsidRPr="001700FE" w14:paraId="3976F848" w14:textId="77777777" w:rsidTr="00B16B49">
        <w:trPr>
          <w:trHeight w:val="300"/>
        </w:trPr>
        <w:tc>
          <w:tcPr>
            <w:tcW w:w="2219" w:type="pct"/>
            <w:vAlign w:val="center"/>
          </w:tcPr>
          <w:p w14:paraId="3CDC400A" w14:textId="77777777" w:rsidR="00CA72E5" w:rsidRPr="001700FE" w:rsidRDefault="00CA72E5" w:rsidP="00B16B49">
            <w:pPr>
              <w:rPr>
                <w:rFonts w:eastAsia="Aptos"/>
              </w:rPr>
            </w:pPr>
            <w:r w:rsidRPr="001700FE">
              <w:rPr>
                <w:rFonts w:eastAsia="Aptos"/>
              </w:rPr>
              <w:t>Low (&lt;$10m)</w:t>
            </w:r>
          </w:p>
        </w:tc>
        <w:tc>
          <w:tcPr>
            <w:tcW w:w="556" w:type="pct"/>
            <w:shd w:val="clear" w:color="auto" w:fill="DAFCFF" w:themeFill="accent6" w:themeFillTint="33"/>
            <w:vAlign w:val="center"/>
          </w:tcPr>
          <w:p w14:paraId="689182D7"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A5FFE3" w:themeFill="accent2" w:themeFillTint="33"/>
            <w:vAlign w:val="center"/>
          </w:tcPr>
          <w:p w14:paraId="31556FB0" w14:textId="77777777" w:rsidR="00CA72E5" w:rsidRPr="00171586" w:rsidRDefault="00CA72E5" w:rsidP="00B16B49">
            <w:pPr>
              <w:jc w:val="center"/>
              <w:rPr>
                <w:b/>
              </w:rPr>
            </w:pPr>
          </w:p>
        </w:tc>
        <w:tc>
          <w:tcPr>
            <w:tcW w:w="556" w:type="pct"/>
            <w:shd w:val="clear" w:color="auto" w:fill="A5FFE3" w:themeFill="accent2" w:themeFillTint="33"/>
            <w:vAlign w:val="center"/>
          </w:tcPr>
          <w:p w14:paraId="35AA76E6" w14:textId="77777777" w:rsidR="00CA72E5" w:rsidRPr="00171586" w:rsidRDefault="00CA72E5" w:rsidP="00B16B49">
            <w:pPr>
              <w:jc w:val="center"/>
              <w:rPr>
                <w:b/>
              </w:rPr>
            </w:pPr>
          </w:p>
        </w:tc>
        <w:tc>
          <w:tcPr>
            <w:tcW w:w="556" w:type="pct"/>
            <w:shd w:val="clear" w:color="auto" w:fill="A5FFE3" w:themeFill="accent2" w:themeFillTint="33"/>
            <w:vAlign w:val="center"/>
          </w:tcPr>
          <w:p w14:paraId="67A025BA" w14:textId="77777777" w:rsidR="00CA72E5" w:rsidRPr="00171586" w:rsidRDefault="00CA72E5" w:rsidP="00B16B49">
            <w:pPr>
              <w:jc w:val="center"/>
              <w:rPr>
                <w:b/>
              </w:rPr>
            </w:pPr>
          </w:p>
        </w:tc>
        <w:tc>
          <w:tcPr>
            <w:tcW w:w="557" w:type="pct"/>
            <w:shd w:val="clear" w:color="auto" w:fill="A5FFE3" w:themeFill="accent2" w:themeFillTint="33"/>
            <w:vAlign w:val="center"/>
          </w:tcPr>
          <w:p w14:paraId="05D4380D" w14:textId="77777777" w:rsidR="00CA72E5" w:rsidRPr="00171586" w:rsidRDefault="00CA72E5" w:rsidP="00B16B49">
            <w:pPr>
              <w:jc w:val="center"/>
              <w:rPr>
                <w:b/>
              </w:rPr>
            </w:pPr>
          </w:p>
        </w:tc>
      </w:tr>
      <w:tr w:rsidR="00CA72E5" w:rsidRPr="001700FE" w14:paraId="671AB7DD" w14:textId="77777777" w:rsidTr="00B16B49">
        <w:trPr>
          <w:trHeight w:val="300"/>
        </w:trPr>
        <w:tc>
          <w:tcPr>
            <w:tcW w:w="2219" w:type="pct"/>
            <w:vAlign w:val="center"/>
          </w:tcPr>
          <w:p w14:paraId="241FA66B" w14:textId="77777777" w:rsidR="00CA72E5" w:rsidRPr="001700FE" w:rsidRDefault="00CA72E5" w:rsidP="00B16B49">
            <w:pPr>
              <w:rPr>
                <w:rFonts w:eastAsia="Aptos"/>
              </w:rPr>
            </w:pPr>
            <w:r w:rsidRPr="001700FE">
              <w:rPr>
                <w:rFonts w:eastAsia="Aptos"/>
              </w:rPr>
              <w:t>Medium (&lt;$100m)</w:t>
            </w:r>
          </w:p>
        </w:tc>
        <w:tc>
          <w:tcPr>
            <w:tcW w:w="556" w:type="pct"/>
            <w:shd w:val="clear" w:color="auto" w:fill="DAFCFF" w:themeFill="accent6" w:themeFillTint="33"/>
            <w:vAlign w:val="center"/>
          </w:tcPr>
          <w:p w14:paraId="6D401C8D"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4F944A94"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06FDE543"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5550F87B" w14:textId="77777777" w:rsidR="00CA72E5" w:rsidRPr="00171586" w:rsidRDefault="00CA72E5" w:rsidP="00B16B49">
            <w:pPr>
              <w:jc w:val="center"/>
              <w:rPr>
                <w:b/>
              </w:rPr>
            </w:pPr>
            <w:r w:rsidRPr="00171586">
              <w:rPr>
                <w:rFonts w:ascii="Segoe UI Symbol" w:hAnsi="Segoe UI Symbol" w:cs="Segoe UI Symbol"/>
                <w:b/>
              </w:rPr>
              <w:t>✓</w:t>
            </w:r>
          </w:p>
        </w:tc>
        <w:tc>
          <w:tcPr>
            <w:tcW w:w="557" w:type="pct"/>
            <w:shd w:val="clear" w:color="auto" w:fill="DAFCFF" w:themeFill="accent6" w:themeFillTint="33"/>
            <w:vAlign w:val="center"/>
          </w:tcPr>
          <w:p w14:paraId="1E5968EB" w14:textId="77777777" w:rsidR="00CA72E5" w:rsidRPr="00171586" w:rsidRDefault="00CA72E5" w:rsidP="00B16B49">
            <w:pPr>
              <w:jc w:val="center"/>
              <w:rPr>
                <w:b/>
              </w:rPr>
            </w:pPr>
            <w:r w:rsidRPr="00171586">
              <w:rPr>
                <w:rFonts w:ascii="Segoe UI Symbol" w:hAnsi="Segoe UI Symbol" w:cs="Segoe UI Symbol"/>
                <w:b/>
              </w:rPr>
              <w:t>✓</w:t>
            </w:r>
          </w:p>
        </w:tc>
      </w:tr>
      <w:tr w:rsidR="00CA72E5" w:rsidRPr="001700FE" w14:paraId="5EEC120E" w14:textId="77777777" w:rsidTr="00B16B49">
        <w:trPr>
          <w:trHeight w:val="315"/>
        </w:trPr>
        <w:tc>
          <w:tcPr>
            <w:tcW w:w="2219" w:type="pct"/>
            <w:vAlign w:val="center"/>
          </w:tcPr>
          <w:p w14:paraId="070C97D8" w14:textId="77777777" w:rsidR="00CA72E5" w:rsidRPr="001700FE" w:rsidRDefault="00CA72E5" w:rsidP="00B16B49">
            <w:pPr>
              <w:rPr>
                <w:rFonts w:eastAsia="Aptos"/>
              </w:rPr>
            </w:pPr>
            <w:r>
              <w:rPr>
                <w:rFonts w:eastAsia="Aptos"/>
              </w:rPr>
              <w:t>High (&lt;$1b</w:t>
            </w:r>
            <w:r w:rsidRPr="001700FE">
              <w:rPr>
                <w:rFonts w:eastAsia="Aptos"/>
              </w:rPr>
              <w:t>)</w:t>
            </w:r>
          </w:p>
        </w:tc>
        <w:tc>
          <w:tcPr>
            <w:tcW w:w="556" w:type="pct"/>
            <w:shd w:val="clear" w:color="auto" w:fill="DAFCFF" w:themeFill="accent6" w:themeFillTint="33"/>
            <w:vAlign w:val="center"/>
          </w:tcPr>
          <w:p w14:paraId="0929E4EE"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27403F6D"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66CDFE94"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DAFCFF" w:themeFill="accent6" w:themeFillTint="33"/>
            <w:vAlign w:val="center"/>
          </w:tcPr>
          <w:p w14:paraId="07AC66A2" w14:textId="77777777" w:rsidR="00CA72E5" w:rsidRPr="00171586" w:rsidRDefault="00CA72E5" w:rsidP="00B16B49">
            <w:pPr>
              <w:jc w:val="center"/>
              <w:rPr>
                <w:b/>
              </w:rPr>
            </w:pPr>
            <w:r w:rsidRPr="00171586">
              <w:rPr>
                <w:rFonts w:ascii="Segoe UI Symbol" w:hAnsi="Segoe UI Symbol" w:cs="Segoe UI Symbol"/>
                <w:b/>
              </w:rPr>
              <w:t>✓</w:t>
            </w:r>
          </w:p>
        </w:tc>
        <w:tc>
          <w:tcPr>
            <w:tcW w:w="557" w:type="pct"/>
            <w:vAlign w:val="center"/>
          </w:tcPr>
          <w:p w14:paraId="7BEA19C8" w14:textId="77777777" w:rsidR="00CA72E5" w:rsidRPr="00171586" w:rsidRDefault="00CA72E5" w:rsidP="00B16B49">
            <w:pPr>
              <w:jc w:val="center"/>
              <w:rPr>
                <w:b/>
              </w:rPr>
            </w:pPr>
          </w:p>
        </w:tc>
      </w:tr>
      <w:tr w:rsidR="00CA72E5" w:rsidRPr="001700FE" w14:paraId="0C16C84E" w14:textId="77777777" w:rsidTr="00B16B49">
        <w:trPr>
          <w:trHeight w:val="300"/>
        </w:trPr>
        <w:tc>
          <w:tcPr>
            <w:tcW w:w="2219" w:type="pct"/>
            <w:vAlign w:val="center"/>
          </w:tcPr>
          <w:p w14:paraId="217D7B6E" w14:textId="77777777" w:rsidR="00CA72E5" w:rsidRPr="001700FE" w:rsidRDefault="00CA72E5" w:rsidP="00B16B49">
            <w:pPr>
              <w:rPr>
                <w:rFonts w:eastAsia="Aptos"/>
              </w:rPr>
            </w:pPr>
            <w:r w:rsidRPr="001700FE">
              <w:rPr>
                <w:rFonts w:eastAsia="Aptos"/>
              </w:rPr>
              <w:t>Very high (&gt;$1b)</w:t>
            </w:r>
          </w:p>
        </w:tc>
        <w:tc>
          <w:tcPr>
            <w:tcW w:w="556" w:type="pct"/>
            <w:shd w:val="clear" w:color="auto" w:fill="A5FFE3" w:themeFill="accent2" w:themeFillTint="33"/>
            <w:vAlign w:val="center"/>
          </w:tcPr>
          <w:p w14:paraId="65F4E45B" w14:textId="77777777" w:rsidR="00CA72E5" w:rsidRPr="00171586" w:rsidRDefault="00CA72E5" w:rsidP="00B16B49">
            <w:pPr>
              <w:jc w:val="center"/>
              <w:rPr>
                <w:b/>
              </w:rPr>
            </w:pPr>
          </w:p>
        </w:tc>
        <w:tc>
          <w:tcPr>
            <w:tcW w:w="556" w:type="pct"/>
            <w:shd w:val="clear" w:color="auto" w:fill="DAFCFF" w:themeFill="accent6" w:themeFillTint="33"/>
            <w:vAlign w:val="center"/>
          </w:tcPr>
          <w:p w14:paraId="7EE95624" w14:textId="77777777" w:rsidR="00CA72E5" w:rsidRPr="00171586" w:rsidRDefault="00CA72E5" w:rsidP="00B16B49">
            <w:pPr>
              <w:jc w:val="center"/>
              <w:rPr>
                <w:b/>
              </w:rPr>
            </w:pPr>
            <w:r w:rsidRPr="00171586">
              <w:rPr>
                <w:rFonts w:ascii="Segoe UI Symbol" w:hAnsi="Segoe UI Symbol" w:cs="Segoe UI Symbol"/>
                <w:b/>
              </w:rPr>
              <w:t>✓</w:t>
            </w:r>
          </w:p>
        </w:tc>
        <w:tc>
          <w:tcPr>
            <w:tcW w:w="556" w:type="pct"/>
            <w:shd w:val="clear" w:color="auto" w:fill="A5FFE3" w:themeFill="accent2" w:themeFillTint="33"/>
            <w:vAlign w:val="center"/>
          </w:tcPr>
          <w:p w14:paraId="589A902C" w14:textId="77777777" w:rsidR="00CA72E5" w:rsidRPr="00171586" w:rsidRDefault="00CA72E5" w:rsidP="00B16B49">
            <w:pPr>
              <w:jc w:val="center"/>
              <w:rPr>
                <w:b/>
              </w:rPr>
            </w:pPr>
          </w:p>
        </w:tc>
        <w:tc>
          <w:tcPr>
            <w:tcW w:w="556" w:type="pct"/>
            <w:shd w:val="clear" w:color="auto" w:fill="A5FFE3" w:themeFill="accent2" w:themeFillTint="33"/>
            <w:vAlign w:val="center"/>
          </w:tcPr>
          <w:p w14:paraId="3C99D3CF" w14:textId="77777777" w:rsidR="00CA72E5" w:rsidRPr="00171586" w:rsidRDefault="00CA72E5" w:rsidP="00B16B49">
            <w:pPr>
              <w:jc w:val="center"/>
              <w:rPr>
                <w:b/>
              </w:rPr>
            </w:pPr>
          </w:p>
        </w:tc>
        <w:tc>
          <w:tcPr>
            <w:tcW w:w="557" w:type="pct"/>
            <w:shd w:val="clear" w:color="auto" w:fill="A5FFE3" w:themeFill="accent2" w:themeFillTint="33"/>
            <w:vAlign w:val="center"/>
          </w:tcPr>
          <w:p w14:paraId="745F6E48" w14:textId="77777777" w:rsidR="00CA72E5" w:rsidRPr="00171586" w:rsidRDefault="00CA72E5" w:rsidP="00B16B49">
            <w:pPr>
              <w:jc w:val="center"/>
              <w:rPr>
                <w:b/>
              </w:rPr>
            </w:pPr>
          </w:p>
        </w:tc>
      </w:tr>
    </w:tbl>
    <w:p w14:paraId="610F0D75" w14:textId="77777777" w:rsidR="00CA72E5" w:rsidRDefault="00CA72E5" w:rsidP="00CA72E5">
      <w:r>
        <w:br w:type="page"/>
      </w:r>
    </w:p>
    <w:p w14:paraId="19843964" w14:textId="77777777" w:rsidR="00CA72E5" w:rsidRPr="00C61DF5" w:rsidRDefault="00CA72E5" w:rsidP="00CA72E5">
      <w:pPr>
        <w:jc w:val="right"/>
        <w:rPr>
          <w:b/>
          <w:sz w:val="24"/>
        </w:rPr>
      </w:pPr>
      <w:r w:rsidRPr="00C61DF5">
        <w:rPr>
          <w:b/>
          <w:sz w:val="24"/>
        </w:rPr>
        <w:lastRenderedPageBreak/>
        <w:t>ATTACHMENT C</w:t>
      </w:r>
    </w:p>
    <w:tbl>
      <w:tblPr>
        <w:tblStyle w:val="TableGrid"/>
        <w:tblW w:w="4550" w:type="pct"/>
        <w:tblLook w:val="04A0" w:firstRow="1" w:lastRow="0" w:firstColumn="1" w:lastColumn="0" w:noHBand="0" w:noVBand="1"/>
        <w:tblCaption w:val="Commonwealth-led climate and related policies and programs by theme"/>
        <w:tblDescription w:val="A chart showing the thematic distribution of Commonwealth-led climate and related policies and programs. It shows:41 energy and electricity policies and programs, delivered by 10 entities, 2 resource policies and programs, 24 international policies and programs delivered by 3 entities, 9 industry and waste policies and programs, 9 wellbeing and adaptation policies and programs , 19 agriculture and land policies and programs, delivered by 4 entities, 2 other policies and programs, 21 transport policies and programs, delivered by 3 entities, 53 cross cutting policies and programs, delivered by 11 entities"/>
      </w:tblPr>
      <w:tblGrid>
        <w:gridCol w:w="893"/>
        <w:gridCol w:w="897"/>
        <w:gridCol w:w="897"/>
        <w:gridCol w:w="897"/>
        <w:gridCol w:w="897"/>
        <w:gridCol w:w="897"/>
        <w:gridCol w:w="897"/>
        <w:gridCol w:w="897"/>
        <w:gridCol w:w="897"/>
        <w:gridCol w:w="900"/>
      </w:tblGrid>
      <w:tr w:rsidR="00CA72E5" w14:paraId="41B1DB20" w14:textId="77777777" w:rsidTr="00882A5B">
        <w:trPr>
          <w:tblHeader/>
        </w:trPr>
        <w:tc>
          <w:tcPr>
            <w:tcW w:w="5000" w:type="pct"/>
            <w:gridSpan w:val="10"/>
          </w:tcPr>
          <w:p w14:paraId="009A7CC9" w14:textId="77777777" w:rsidR="00CA72E5" w:rsidRDefault="00CA72E5" w:rsidP="00B16B49">
            <w:pPr>
              <w:rPr>
                <w:rStyle w:val="eop"/>
                <w:b/>
                <w:color w:val="auto"/>
                <w:sz w:val="24"/>
              </w:rPr>
            </w:pPr>
            <w:r>
              <w:rPr>
                <w:rStyle w:val="eop"/>
                <w:b/>
                <w:color w:val="auto"/>
                <w:sz w:val="24"/>
              </w:rPr>
              <w:t xml:space="preserve">Commonwealth-led climate and related policies and programs by theme </w:t>
            </w:r>
          </w:p>
        </w:tc>
      </w:tr>
      <w:tr w:rsidR="00CA72E5" w14:paraId="7D84222A" w14:textId="77777777" w:rsidTr="00B16B49">
        <w:tc>
          <w:tcPr>
            <w:tcW w:w="498" w:type="pct"/>
            <w:shd w:val="clear" w:color="auto" w:fill="69EECB" w:themeFill="accent1" w:themeFillTint="99"/>
          </w:tcPr>
          <w:p w14:paraId="5F3025A1" w14:textId="77777777" w:rsidR="00CA72E5" w:rsidRDefault="00CA72E5" w:rsidP="00B16B49">
            <w:pPr>
              <w:rPr>
                <w:rStyle w:val="eop"/>
                <w:b/>
                <w:color w:val="auto"/>
                <w:sz w:val="24"/>
              </w:rPr>
            </w:pPr>
          </w:p>
        </w:tc>
        <w:tc>
          <w:tcPr>
            <w:tcW w:w="500" w:type="pct"/>
            <w:shd w:val="clear" w:color="auto" w:fill="69EECB" w:themeFill="accent1" w:themeFillTint="99"/>
          </w:tcPr>
          <w:p w14:paraId="55206FF9" w14:textId="77777777" w:rsidR="00CA72E5" w:rsidRDefault="00CA72E5" w:rsidP="00B16B49">
            <w:pPr>
              <w:rPr>
                <w:rStyle w:val="eop"/>
                <w:b/>
                <w:color w:val="auto"/>
                <w:sz w:val="24"/>
              </w:rPr>
            </w:pPr>
          </w:p>
        </w:tc>
        <w:tc>
          <w:tcPr>
            <w:tcW w:w="500" w:type="pct"/>
            <w:shd w:val="clear" w:color="auto" w:fill="69EECB" w:themeFill="accent1" w:themeFillTint="99"/>
          </w:tcPr>
          <w:p w14:paraId="58747F2B" w14:textId="77777777" w:rsidR="00CA72E5" w:rsidRDefault="00CA72E5" w:rsidP="00B16B49">
            <w:pPr>
              <w:rPr>
                <w:rStyle w:val="eop"/>
                <w:b/>
                <w:color w:val="auto"/>
                <w:sz w:val="24"/>
              </w:rPr>
            </w:pPr>
          </w:p>
        </w:tc>
        <w:tc>
          <w:tcPr>
            <w:tcW w:w="500" w:type="pct"/>
            <w:shd w:val="clear" w:color="auto" w:fill="69EECB" w:themeFill="accent1" w:themeFillTint="99"/>
          </w:tcPr>
          <w:p w14:paraId="083F7B0D" w14:textId="77777777" w:rsidR="00CA72E5" w:rsidRDefault="00CA72E5" w:rsidP="00B16B49">
            <w:pPr>
              <w:rPr>
                <w:rStyle w:val="eop"/>
                <w:b/>
                <w:color w:val="auto"/>
                <w:sz w:val="24"/>
              </w:rPr>
            </w:pPr>
          </w:p>
        </w:tc>
        <w:tc>
          <w:tcPr>
            <w:tcW w:w="500" w:type="pct"/>
            <w:vMerge w:val="restart"/>
            <w:shd w:val="clear" w:color="auto" w:fill="FF6F47" w:themeFill="accent4"/>
          </w:tcPr>
          <w:p w14:paraId="066060D1" w14:textId="77777777" w:rsidR="00CA72E5" w:rsidRPr="00954DF4" w:rsidRDefault="00CA72E5" w:rsidP="00B16B49">
            <w:pPr>
              <w:rPr>
                <w:rStyle w:val="eop"/>
                <w:color w:val="auto"/>
                <w:sz w:val="14"/>
                <w:szCs w:val="14"/>
              </w:rPr>
            </w:pPr>
            <w:r w:rsidRPr="00954DF4">
              <w:rPr>
                <w:rStyle w:val="eop"/>
                <w:color w:val="auto"/>
                <w:sz w:val="14"/>
                <w:szCs w:val="14"/>
              </w:rPr>
              <w:t>resources</w:t>
            </w:r>
          </w:p>
        </w:tc>
        <w:tc>
          <w:tcPr>
            <w:tcW w:w="500" w:type="pct"/>
            <w:shd w:val="clear" w:color="auto" w:fill="FFC5B5" w:themeFill="accent4" w:themeFillTint="66"/>
          </w:tcPr>
          <w:p w14:paraId="3A6EE328" w14:textId="77777777" w:rsidR="00CA72E5" w:rsidRDefault="00CA72E5" w:rsidP="00B16B49">
            <w:pPr>
              <w:rPr>
                <w:rStyle w:val="eop"/>
                <w:b/>
                <w:color w:val="auto"/>
                <w:sz w:val="24"/>
              </w:rPr>
            </w:pPr>
          </w:p>
        </w:tc>
        <w:tc>
          <w:tcPr>
            <w:tcW w:w="500" w:type="pct"/>
            <w:shd w:val="clear" w:color="auto" w:fill="FFC5B5" w:themeFill="accent4" w:themeFillTint="66"/>
          </w:tcPr>
          <w:p w14:paraId="4B0D35F8" w14:textId="77777777" w:rsidR="00CA72E5" w:rsidRDefault="00CA72E5" w:rsidP="00B16B49">
            <w:pPr>
              <w:rPr>
                <w:rStyle w:val="eop"/>
                <w:b/>
                <w:color w:val="auto"/>
                <w:sz w:val="24"/>
              </w:rPr>
            </w:pPr>
          </w:p>
        </w:tc>
        <w:tc>
          <w:tcPr>
            <w:tcW w:w="500" w:type="pct"/>
            <w:shd w:val="clear" w:color="auto" w:fill="FFC5B5" w:themeFill="accent4" w:themeFillTint="66"/>
          </w:tcPr>
          <w:p w14:paraId="54DC4D06" w14:textId="77777777" w:rsidR="00CA72E5" w:rsidRDefault="00CA72E5" w:rsidP="00B16B49">
            <w:pPr>
              <w:rPr>
                <w:rStyle w:val="eop"/>
                <w:b/>
                <w:color w:val="auto"/>
                <w:sz w:val="24"/>
              </w:rPr>
            </w:pPr>
            <w:r w:rsidRPr="00B257F0">
              <w:rPr>
                <w:rStyle w:val="eop"/>
                <w:b/>
                <w:noProof/>
                <w:color w:val="auto"/>
                <w:sz w:val="24"/>
                <w:lang w:eastAsia="en-AU"/>
              </w:rPr>
              <mc:AlternateContent>
                <mc:Choice Requires="wps">
                  <w:drawing>
                    <wp:anchor distT="45720" distB="45720" distL="114300" distR="114300" simplePos="0" relativeHeight="251664384" behindDoc="0" locked="0" layoutInCell="1" allowOverlap="1" wp14:anchorId="011AFACC" wp14:editId="03141AD0">
                      <wp:simplePos x="0" y="0"/>
                      <wp:positionH relativeFrom="column">
                        <wp:posOffset>-464820</wp:posOffset>
                      </wp:positionH>
                      <wp:positionV relativeFrom="paragraph">
                        <wp:posOffset>80010</wp:posOffset>
                      </wp:positionV>
                      <wp:extent cx="1905000" cy="37465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74650"/>
                              </a:xfrm>
                              <a:prstGeom prst="rect">
                                <a:avLst/>
                              </a:prstGeom>
                              <a:solidFill>
                                <a:schemeClr val="accent4">
                                  <a:lumMod val="40000"/>
                                  <a:lumOff val="60000"/>
                                </a:schemeClr>
                              </a:solidFill>
                              <a:ln w="9525">
                                <a:noFill/>
                                <a:miter lim="800000"/>
                                <a:headEnd/>
                                <a:tailEnd/>
                              </a:ln>
                            </wps:spPr>
                            <wps:txbx>
                              <w:txbxContent>
                                <w:p w14:paraId="562FFCB6" w14:textId="77777777" w:rsidR="00B16B49" w:rsidRPr="00B257F0" w:rsidRDefault="00B16B49" w:rsidP="00CA72E5">
                                  <w:pPr>
                                    <w:rPr>
                                      <w:sz w:val="14"/>
                                      <w:szCs w:val="14"/>
                                    </w:rPr>
                                  </w:pPr>
                                  <w:r w:rsidRPr="00B257F0">
                                    <w:rPr>
                                      <w:sz w:val="14"/>
                                      <w:szCs w:val="14"/>
                                    </w:rPr>
                                    <w:t>9 industry and waste policies and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AFACC" id="_x0000_t202" coordsize="21600,21600" o:spt="202" path="m,l,21600r21600,l21600,xe">
                      <v:stroke joinstyle="miter"/>
                      <v:path gradientshapeok="t" o:connecttype="rect"/>
                    </v:shapetype>
                    <v:shape id="Text Box 2" o:spid="_x0000_s1026" type="#_x0000_t202" style="position:absolute;margin-left:-36.6pt;margin-top:6.3pt;width:150pt;height:2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" fillcolor="#ffc5b5 [1303]" stroked="f">
                      <v:textbox>
                        <w:txbxContent>
                          <w:p w14:paraId="562FFCB6" w14:textId="77777777" w:rsidR="00B16B49" w:rsidRPr="00B257F0" w:rsidRDefault="00B16B49" w:rsidP="00CA72E5">
                            <w:pPr>
                              <w:rPr>
                                <w:sz w:val="14"/>
                                <w:szCs w:val="14"/>
                              </w:rPr>
                            </w:pPr>
                            <w:r w:rsidRPr="00B257F0">
                              <w:rPr>
                                <w:sz w:val="14"/>
                                <w:szCs w:val="14"/>
                              </w:rPr>
                              <w:t>9 industry and waste policies and programs</w:t>
                            </w:r>
                          </w:p>
                        </w:txbxContent>
                      </v:textbox>
                    </v:shape>
                  </w:pict>
                </mc:Fallback>
              </mc:AlternateContent>
            </w:r>
          </w:p>
        </w:tc>
        <w:tc>
          <w:tcPr>
            <w:tcW w:w="500" w:type="pct"/>
            <w:shd w:val="clear" w:color="auto" w:fill="FFC5B5" w:themeFill="accent4" w:themeFillTint="66"/>
          </w:tcPr>
          <w:p w14:paraId="2283C888" w14:textId="77777777" w:rsidR="00CA72E5" w:rsidRDefault="00CA72E5" w:rsidP="00B16B49">
            <w:pPr>
              <w:rPr>
                <w:rStyle w:val="eop"/>
                <w:b/>
                <w:color w:val="auto"/>
                <w:sz w:val="24"/>
              </w:rPr>
            </w:pPr>
          </w:p>
        </w:tc>
        <w:tc>
          <w:tcPr>
            <w:tcW w:w="501" w:type="pct"/>
            <w:shd w:val="clear" w:color="auto" w:fill="FFC5B5" w:themeFill="accent4" w:themeFillTint="66"/>
          </w:tcPr>
          <w:p w14:paraId="34B0CBB8" w14:textId="77777777" w:rsidR="00CA72E5" w:rsidRDefault="00CA72E5" w:rsidP="00B16B49">
            <w:pPr>
              <w:rPr>
                <w:rStyle w:val="eop"/>
                <w:b/>
                <w:color w:val="auto"/>
                <w:sz w:val="24"/>
              </w:rPr>
            </w:pPr>
          </w:p>
        </w:tc>
      </w:tr>
      <w:tr w:rsidR="00CA72E5" w14:paraId="624F863B" w14:textId="77777777" w:rsidTr="00B16B49">
        <w:tc>
          <w:tcPr>
            <w:tcW w:w="498" w:type="pct"/>
            <w:shd w:val="clear" w:color="auto" w:fill="69EECB" w:themeFill="accent1" w:themeFillTint="99"/>
          </w:tcPr>
          <w:p w14:paraId="511F9AAB" w14:textId="77777777" w:rsidR="00CA72E5" w:rsidRDefault="00CA72E5" w:rsidP="00B16B49">
            <w:pPr>
              <w:rPr>
                <w:rStyle w:val="eop"/>
                <w:b/>
                <w:color w:val="auto"/>
                <w:sz w:val="24"/>
              </w:rPr>
            </w:pPr>
          </w:p>
        </w:tc>
        <w:tc>
          <w:tcPr>
            <w:tcW w:w="500" w:type="pct"/>
            <w:shd w:val="clear" w:color="auto" w:fill="69EECB" w:themeFill="accent1" w:themeFillTint="99"/>
          </w:tcPr>
          <w:p w14:paraId="447D843D" w14:textId="77777777" w:rsidR="00CA72E5" w:rsidRDefault="00CA72E5" w:rsidP="00B16B49">
            <w:pPr>
              <w:rPr>
                <w:rStyle w:val="eop"/>
                <w:b/>
                <w:color w:val="auto"/>
                <w:sz w:val="24"/>
              </w:rPr>
            </w:pPr>
          </w:p>
        </w:tc>
        <w:tc>
          <w:tcPr>
            <w:tcW w:w="500" w:type="pct"/>
            <w:shd w:val="clear" w:color="auto" w:fill="69EECB" w:themeFill="accent1" w:themeFillTint="99"/>
          </w:tcPr>
          <w:p w14:paraId="1E46E424" w14:textId="77777777" w:rsidR="00CA72E5" w:rsidRDefault="00CA72E5" w:rsidP="00B16B49">
            <w:pPr>
              <w:rPr>
                <w:rStyle w:val="eop"/>
                <w:b/>
                <w:color w:val="auto"/>
                <w:sz w:val="24"/>
              </w:rPr>
            </w:pPr>
          </w:p>
        </w:tc>
        <w:tc>
          <w:tcPr>
            <w:tcW w:w="500" w:type="pct"/>
            <w:shd w:val="clear" w:color="auto" w:fill="69EECB" w:themeFill="accent1" w:themeFillTint="99"/>
          </w:tcPr>
          <w:p w14:paraId="20AAF399" w14:textId="77777777" w:rsidR="00CA72E5" w:rsidRDefault="00CA72E5" w:rsidP="00B16B49">
            <w:pPr>
              <w:rPr>
                <w:rStyle w:val="eop"/>
                <w:b/>
                <w:color w:val="auto"/>
                <w:sz w:val="24"/>
              </w:rPr>
            </w:pPr>
          </w:p>
        </w:tc>
        <w:tc>
          <w:tcPr>
            <w:tcW w:w="500" w:type="pct"/>
            <w:vMerge/>
            <w:shd w:val="clear" w:color="auto" w:fill="FF6F47" w:themeFill="accent4"/>
          </w:tcPr>
          <w:p w14:paraId="5950091A" w14:textId="77777777" w:rsidR="00CA72E5" w:rsidRDefault="00CA72E5" w:rsidP="00B16B49">
            <w:pPr>
              <w:rPr>
                <w:rStyle w:val="eop"/>
                <w:b/>
                <w:color w:val="auto"/>
                <w:sz w:val="24"/>
              </w:rPr>
            </w:pPr>
          </w:p>
        </w:tc>
        <w:tc>
          <w:tcPr>
            <w:tcW w:w="500" w:type="pct"/>
            <w:shd w:val="clear" w:color="auto" w:fill="B6FAFF" w:themeFill="accent6" w:themeFillTint="66"/>
          </w:tcPr>
          <w:p w14:paraId="6E7A0016" w14:textId="77777777" w:rsidR="00CA72E5" w:rsidRDefault="00CA72E5" w:rsidP="00B16B49">
            <w:pPr>
              <w:rPr>
                <w:rStyle w:val="eop"/>
                <w:b/>
                <w:color w:val="auto"/>
                <w:sz w:val="24"/>
              </w:rPr>
            </w:pPr>
          </w:p>
        </w:tc>
        <w:tc>
          <w:tcPr>
            <w:tcW w:w="500" w:type="pct"/>
            <w:shd w:val="clear" w:color="auto" w:fill="FFC5B5" w:themeFill="accent4" w:themeFillTint="66"/>
          </w:tcPr>
          <w:p w14:paraId="59623D6F" w14:textId="77777777" w:rsidR="00CA72E5" w:rsidRDefault="00CA72E5" w:rsidP="00B16B49">
            <w:pPr>
              <w:rPr>
                <w:rStyle w:val="eop"/>
                <w:b/>
                <w:color w:val="auto"/>
                <w:sz w:val="24"/>
              </w:rPr>
            </w:pPr>
          </w:p>
        </w:tc>
        <w:tc>
          <w:tcPr>
            <w:tcW w:w="500" w:type="pct"/>
            <w:shd w:val="clear" w:color="auto" w:fill="FFC5B5" w:themeFill="accent4" w:themeFillTint="66"/>
          </w:tcPr>
          <w:p w14:paraId="28DBA577" w14:textId="77777777" w:rsidR="00CA72E5" w:rsidRDefault="00CA72E5" w:rsidP="00B16B49">
            <w:pPr>
              <w:rPr>
                <w:rStyle w:val="eop"/>
                <w:b/>
                <w:color w:val="auto"/>
                <w:sz w:val="24"/>
              </w:rPr>
            </w:pPr>
          </w:p>
        </w:tc>
        <w:tc>
          <w:tcPr>
            <w:tcW w:w="500" w:type="pct"/>
            <w:shd w:val="clear" w:color="auto" w:fill="FFC5B5" w:themeFill="accent4" w:themeFillTint="66"/>
          </w:tcPr>
          <w:p w14:paraId="0D678D6A" w14:textId="77777777" w:rsidR="00CA72E5" w:rsidRDefault="00CA72E5" w:rsidP="00B16B49">
            <w:pPr>
              <w:rPr>
                <w:rStyle w:val="eop"/>
                <w:b/>
                <w:color w:val="auto"/>
                <w:sz w:val="24"/>
              </w:rPr>
            </w:pPr>
          </w:p>
        </w:tc>
        <w:tc>
          <w:tcPr>
            <w:tcW w:w="501" w:type="pct"/>
            <w:shd w:val="clear" w:color="auto" w:fill="FFC5B5" w:themeFill="accent4" w:themeFillTint="66"/>
          </w:tcPr>
          <w:p w14:paraId="58A8E469" w14:textId="77777777" w:rsidR="00CA72E5" w:rsidRDefault="00CA72E5" w:rsidP="00B16B49">
            <w:pPr>
              <w:rPr>
                <w:rStyle w:val="eop"/>
                <w:b/>
                <w:color w:val="auto"/>
                <w:sz w:val="24"/>
              </w:rPr>
            </w:pPr>
          </w:p>
        </w:tc>
      </w:tr>
      <w:tr w:rsidR="00CA72E5" w14:paraId="4DBABC70" w14:textId="77777777" w:rsidTr="00B16B49">
        <w:tc>
          <w:tcPr>
            <w:tcW w:w="498" w:type="pct"/>
            <w:shd w:val="clear" w:color="auto" w:fill="69EECB" w:themeFill="accent1" w:themeFillTint="99"/>
          </w:tcPr>
          <w:p w14:paraId="1FDD6977" w14:textId="77777777" w:rsidR="00CA72E5" w:rsidRDefault="00CA72E5" w:rsidP="00B16B49">
            <w:pPr>
              <w:rPr>
                <w:rStyle w:val="eop"/>
                <w:b/>
                <w:color w:val="auto"/>
                <w:sz w:val="24"/>
              </w:rPr>
            </w:pPr>
          </w:p>
        </w:tc>
        <w:tc>
          <w:tcPr>
            <w:tcW w:w="500" w:type="pct"/>
            <w:shd w:val="clear" w:color="auto" w:fill="69EECB" w:themeFill="accent1" w:themeFillTint="99"/>
          </w:tcPr>
          <w:p w14:paraId="0C23C084" w14:textId="77777777" w:rsidR="00CA72E5" w:rsidRDefault="00CA72E5" w:rsidP="00B16B49">
            <w:pPr>
              <w:rPr>
                <w:rStyle w:val="eop"/>
                <w:b/>
                <w:color w:val="auto"/>
                <w:sz w:val="24"/>
              </w:rPr>
            </w:pPr>
          </w:p>
        </w:tc>
        <w:tc>
          <w:tcPr>
            <w:tcW w:w="500" w:type="pct"/>
            <w:shd w:val="clear" w:color="auto" w:fill="69EECB" w:themeFill="accent1" w:themeFillTint="99"/>
          </w:tcPr>
          <w:p w14:paraId="529D49F7" w14:textId="77777777" w:rsidR="00CA72E5" w:rsidRDefault="00CA72E5" w:rsidP="00B16B49">
            <w:pPr>
              <w:rPr>
                <w:rStyle w:val="eop"/>
                <w:b/>
                <w:color w:val="auto"/>
                <w:sz w:val="24"/>
              </w:rPr>
            </w:pPr>
          </w:p>
        </w:tc>
        <w:tc>
          <w:tcPr>
            <w:tcW w:w="500" w:type="pct"/>
            <w:shd w:val="clear" w:color="auto" w:fill="69EECB" w:themeFill="accent1" w:themeFillTint="99"/>
          </w:tcPr>
          <w:p w14:paraId="772B638A" w14:textId="77777777" w:rsidR="00CA72E5" w:rsidRDefault="00CA72E5" w:rsidP="00B16B49">
            <w:pPr>
              <w:rPr>
                <w:rStyle w:val="eop"/>
                <w:b/>
                <w:color w:val="auto"/>
                <w:sz w:val="24"/>
              </w:rPr>
            </w:pPr>
          </w:p>
        </w:tc>
        <w:tc>
          <w:tcPr>
            <w:tcW w:w="500" w:type="pct"/>
            <w:shd w:val="clear" w:color="auto" w:fill="B6FAFF" w:themeFill="accent6" w:themeFillTint="66"/>
          </w:tcPr>
          <w:p w14:paraId="5696AB07" w14:textId="77777777" w:rsidR="00CA72E5" w:rsidRDefault="00CA72E5" w:rsidP="00B16B49">
            <w:pPr>
              <w:rPr>
                <w:rStyle w:val="eop"/>
                <w:b/>
                <w:color w:val="auto"/>
                <w:sz w:val="24"/>
              </w:rPr>
            </w:pPr>
          </w:p>
        </w:tc>
        <w:tc>
          <w:tcPr>
            <w:tcW w:w="500" w:type="pct"/>
            <w:shd w:val="clear" w:color="auto" w:fill="B6FAFF" w:themeFill="accent6" w:themeFillTint="66"/>
          </w:tcPr>
          <w:p w14:paraId="6D2C1C28" w14:textId="77777777" w:rsidR="00CA72E5" w:rsidRDefault="00CA72E5" w:rsidP="00B16B49">
            <w:pPr>
              <w:rPr>
                <w:rStyle w:val="eop"/>
                <w:b/>
                <w:color w:val="auto"/>
                <w:sz w:val="24"/>
              </w:rPr>
            </w:pPr>
          </w:p>
        </w:tc>
        <w:tc>
          <w:tcPr>
            <w:tcW w:w="500" w:type="pct"/>
            <w:shd w:val="clear" w:color="auto" w:fill="B6FAFF" w:themeFill="accent6" w:themeFillTint="66"/>
          </w:tcPr>
          <w:p w14:paraId="50412AF5" w14:textId="77777777" w:rsidR="00CA72E5" w:rsidRDefault="00CA72E5" w:rsidP="00B16B49">
            <w:pPr>
              <w:rPr>
                <w:rStyle w:val="eop"/>
                <w:b/>
                <w:color w:val="auto"/>
                <w:sz w:val="24"/>
              </w:rPr>
            </w:pPr>
            <w:r w:rsidRPr="0097622D">
              <w:rPr>
                <w:rStyle w:val="eop"/>
                <w:b/>
                <w:noProof/>
                <w:color w:val="auto"/>
                <w:sz w:val="24"/>
                <w:lang w:eastAsia="en-AU"/>
              </w:rPr>
              <mc:AlternateContent>
                <mc:Choice Requires="wps">
                  <w:drawing>
                    <wp:anchor distT="0" distB="0" distL="114300" distR="114300" simplePos="0" relativeHeight="251660288" behindDoc="0" locked="0" layoutInCell="1" allowOverlap="1" wp14:anchorId="3555419B" wp14:editId="22C2A472">
                      <wp:simplePos x="0" y="0"/>
                      <wp:positionH relativeFrom="column">
                        <wp:posOffset>-276225</wp:posOffset>
                      </wp:positionH>
                      <wp:positionV relativeFrom="paragraph">
                        <wp:posOffset>129540</wp:posOffset>
                      </wp:positionV>
                      <wp:extent cx="1123200" cy="91440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200" cy="914400"/>
                              </a:xfrm>
                              <a:prstGeom prst="rect">
                                <a:avLst/>
                              </a:prstGeom>
                              <a:solidFill>
                                <a:schemeClr val="accent6">
                                  <a:lumMod val="40000"/>
                                  <a:lumOff val="60000"/>
                                </a:schemeClr>
                              </a:solidFill>
                              <a:ln w="9525">
                                <a:noFill/>
                                <a:miter lim="800000"/>
                                <a:headEnd/>
                                <a:tailEnd/>
                              </a:ln>
                            </wps:spPr>
                            <wps:txbx>
                              <w:txbxContent>
                                <w:p w14:paraId="09FEBF4B" w14:textId="77777777" w:rsidR="00B16B49" w:rsidRPr="0097622D" w:rsidRDefault="00B16B49" w:rsidP="00CA72E5">
                                  <w:pPr>
                                    <w:rPr>
                                      <w:sz w:val="16"/>
                                      <w:szCs w:val="16"/>
                                    </w:rPr>
                                  </w:pPr>
                                  <w:r w:rsidRPr="0097622D">
                                    <w:rPr>
                                      <w:sz w:val="16"/>
                                      <w:szCs w:val="16"/>
                                    </w:rPr>
                                    <w:t>24 international policies and programs delivered by 3 entities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55419B" id="_x0000_s1027" type="#_x0000_t202" style="position:absolute;margin-left:-21.75pt;margin-top:10.2pt;width:88.4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" fillcolor="#b6faff [1305]" stroked="f">
                      <v:textbox style="mso-fit-shape-to-text:t">
                        <w:txbxContent>
                          <w:p w14:paraId="09FEBF4B" w14:textId="77777777" w:rsidR="00B16B49" w:rsidRPr="0097622D" w:rsidRDefault="00B16B49" w:rsidP="00CA72E5">
                            <w:pPr>
                              <w:rPr>
                                <w:sz w:val="16"/>
                                <w:szCs w:val="16"/>
                              </w:rPr>
                            </w:pPr>
                            <w:r w:rsidRPr="0097622D">
                              <w:rPr>
                                <w:sz w:val="16"/>
                                <w:szCs w:val="16"/>
                              </w:rPr>
                              <w:t>24 international policies and programs delivered by 3 entities</w:t>
                            </w:r>
                          </w:p>
                        </w:txbxContent>
                      </v:textbox>
                    </v:shape>
                  </w:pict>
                </mc:Fallback>
              </mc:AlternateContent>
            </w:r>
          </w:p>
        </w:tc>
        <w:tc>
          <w:tcPr>
            <w:tcW w:w="500" w:type="pct"/>
            <w:shd w:val="clear" w:color="auto" w:fill="B6FAFF" w:themeFill="accent6" w:themeFillTint="66"/>
          </w:tcPr>
          <w:p w14:paraId="6F19DFBA" w14:textId="77777777" w:rsidR="00CA72E5" w:rsidRDefault="00CA72E5" w:rsidP="00B16B49">
            <w:pPr>
              <w:rPr>
                <w:rStyle w:val="eop"/>
                <w:b/>
                <w:color w:val="auto"/>
                <w:sz w:val="24"/>
              </w:rPr>
            </w:pPr>
          </w:p>
        </w:tc>
        <w:tc>
          <w:tcPr>
            <w:tcW w:w="500" w:type="pct"/>
            <w:shd w:val="clear" w:color="auto" w:fill="B6FAFF" w:themeFill="accent6" w:themeFillTint="66"/>
          </w:tcPr>
          <w:p w14:paraId="4EA8E3E5" w14:textId="77777777" w:rsidR="00CA72E5" w:rsidRDefault="00CA72E5" w:rsidP="00B16B49">
            <w:pPr>
              <w:rPr>
                <w:rStyle w:val="eop"/>
                <w:b/>
                <w:color w:val="auto"/>
                <w:sz w:val="24"/>
              </w:rPr>
            </w:pPr>
          </w:p>
        </w:tc>
        <w:tc>
          <w:tcPr>
            <w:tcW w:w="501" w:type="pct"/>
            <w:shd w:val="clear" w:color="auto" w:fill="B6FAFF" w:themeFill="accent6" w:themeFillTint="66"/>
          </w:tcPr>
          <w:p w14:paraId="403BB5D0" w14:textId="77777777" w:rsidR="00CA72E5" w:rsidRDefault="00CA72E5" w:rsidP="00B16B49">
            <w:pPr>
              <w:rPr>
                <w:rStyle w:val="eop"/>
                <w:b/>
                <w:color w:val="auto"/>
                <w:sz w:val="24"/>
              </w:rPr>
            </w:pPr>
          </w:p>
        </w:tc>
      </w:tr>
      <w:tr w:rsidR="00CA72E5" w14:paraId="38C7FD61" w14:textId="77777777" w:rsidTr="00B16B49">
        <w:tc>
          <w:tcPr>
            <w:tcW w:w="498" w:type="pct"/>
            <w:shd w:val="clear" w:color="auto" w:fill="69EECB" w:themeFill="accent1" w:themeFillTint="99"/>
          </w:tcPr>
          <w:p w14:paraId="0FDBE04B" w14:textId="77777777" w:rsidR="00CA72E5" w:rsidRDefault="00CA72E5" w:rsidP="00B16B49">
            <w:pPr>
              <w:rPr>
                <w:rStyle w:val="eop"/>
                <w:b/>
                <w:color w:val="auto"/>
                <w:sz w:val="24"/>
              </w:rPr>
            </w:pPr>
          </w:p>
        </w:tc>
        <w:tc>
          <w:tcPr>
            <w:tcW w:w="500" w:type="pct"/>
            <w:shd w:val="clear" w:color="auto" w:fill="69EECB" w:themeFill="accent1" w:themeFillTint="99"/>
          </w:tcPr>
          <w:p w14:paraId="01385B4A" w14:textId="77777777" w:rsidR="00CA72E5" w:rsidRDefault="00CA72E5" w:rsidP="00B16B49">
            <w:pPr>
              <w:rPr>
                <w:rStyle w:val="eop"/>
                <w:b/>
                <w:color w:val="auto"/>
                <w:sz w:val="24"/>
              </w:rPr>
            </w:pPr>
            <w:r>
              <w:rPr>
                <w:b/>
                <w:noProof/>
                <w:color w:val="auto"/>
                <w:sz w:val="24"/>
                <w:lang w:eastAsia="en-AU"/>
              </w:rPr>
              <mc:AlternateContent>
                <mc:Choice Requires="wps">
                  <w:drawing>
                    <wp:anchor distT="0" distB="0" distL="114300" distR="114300" simplePos="0" relativeHeight="251659264" behindDoc="0" locked="0" layoutInCell="1" allowOverlap="1" wp14:anchorId="202B7F66" wp14:editId="3FC31CF2">
                      <wp:simplePos x="0" y="0"/>
                      <wp:positionH relativeFrom="column">
                        <wp:posOffset>57150</wp:posOffset>
                      </wp:positionH>
                      <wp:positionV relativeFrom="paragraph">
                        <wp:posOffset>36830</wp:posOffset>
                      </wp:positionV>
                      <wp:extent cx="1188000" cy="946800"/>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1188000" cy="946800"/>
                              </a:xfrm>
                              <a:prstGeom prst="rect">
                                <a:avLst/>
                              </a:prstGeom>
                              <a:solidFill>
                                <a:schemeClr val="accent1">
                                  <a:lumMod val="60000"/>
                                  <a:lumOff val="40000"/>
                                </a:schemeClr>
                              </a:solidFill>
                              <a:ln w="6350">
                                <a:noFill/>
                              </a:ln>
                            </wps:spPr>
                            <wps:txbx>
                              <w:txbxContent>
                                <w:p w14:paraId="0CFD4650" w14:textId="77777777" w:rsidR="00B16B49" w:rsidRPr="00F4792B" w:rsidRDefault="00B16B49" w:rsidP="00CA72E5">
                                  <w:pPr>
                                    <w:rPr>
                                      <w:sz w:val="16"/>
                                      <w:szCs w:val="16"/>
                                    </w:rPr>
                                  </w:pPr>
                                  <w:r w:rsidRPr="00F4792B">
                                    <w:rPr>
                                      <w:sz w:val="16"/>
                                      <w:szCs w:val="16"/>
                                    </w:rPr>
                                    <w:t>41 energy and electricity policies and programs, delivered by 10 entities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B7F66" id="_x0000_s1028" type="#_x0000_t202" style="position:absolute;margin-left:4.5pt;margin-top:2.9pt;width:93.55pt;height:7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" fillcolor="#69eecb [1940]" stroked="f" strokeweight=".5pt">
                      <v:textbox>
                        <w:txbxContent>
                          <w:p w14:paraId="0CFD4650" w14:textId="77777777" w:rsidR="00B16B49" w:rsidRPr="00F4792B" w:rsidRDefault="00B16B49" w:rsidP="00CA72E5">
                            <w:pPr>
                              <w:rPr>
                                <w:sz w:val="16"/>
                                <w:szCs w:val="16"/>
                              </w:rPr>
                            </w:pPr>
                            <w:r w:rsidRPr="00F4792B">
                              <w:rPr>
                                <w:sz w:val="16"/>
                                <w:szCs w:val="16"/>
                              </w:rPr>
                              <w:t>41 energy and electricity policies and programs, delivered by 10 entities</w:t>
                            </w:r>
                          </w:p>
                        </w:txbxContent>
                      </v:textbox>
                    </v:shape>
                  </w:pict>
                </mc:Fallback>
              </mc:AlternateContent>
            </w:r>
          </w:p>
        </w:tc>
        <w:tc>
          <w:tcPr>
            <w:tcW w:w="500" w:type="pct"/>
            <w:shd w:val="clear" w:color="auto" w:fill="69EECB" w:themeFill="accent1" w:themeFillTint="99"/>
          </w:tcPr>
          <w:p w14:paraId="6A12E8A4" w14:textId="77777777" w:rsidR="00CA72E5" w:rsidRDefault="00CA72E5" w:rsidP="00B16B49">
            <w:pPr>
              <w:rPr>
                <w:rStyle w:val="eop"/>
                <w:b/>
                <w:color w:val="auto"/>
                <w:sz w:val="24"/>
              </w:rPr>
            </w:pPr>
          </w:p>
        </w:tc>
        <w:tc>
          <w:tcPr>
            <w:tcW w:w="500" w:type="pct"/>
            <w:shd w:val="clear" w:color="auto" w:fill="69EECB" w:themeFill="accent1" w:themeFillTint="99"/>
          </w:tcPr>
          <w:p w14:paraId="7273D5B6" w14:textId="77777777" w:rsidR="00CA72E5" w:rsidRDefault="00CA72E5" w:rsidP="00B16B49">
            <w:pPr>
              <w:rPr>
                <w:rStyle w:val="eop"/>
                <w:b/>
                <w:color w:val="auto"/>
                <w:sz w:val="24"/>
              </w:rPr>
            </w:pPr>
          </w:p>
        </w:tc>
        <w:tc>
          <w:tcPr>
            <w:tcW w:w="500" w:type="pct"/>
            <w:shd w:val="clear" w:color="auto" w:fill="B6FAFF" w:themeFill="accent6" w:themeFillTint="66"/>
          </w:tcPr>
          <w:p w14:paraId="60DA8F44" w14:textId="77777777" w:rsidR="00CA72E5" w:rsidRDefault="00CA72E5" w:rsidP="00B16B49">
            <w:pPr>
              <w:rPr>
                <w:rStyle w:val="eop"/>
                <w:b/>
                <w:color w:val="auto"/>
                <w:sz w:val="24"/>
              </w:rPr>
            </w:pPr>
          </w:p>
        </w:tc>
        <w:tc>
          <w:tcPr>
            <w:tcW w:w="500" w:type="pct"/>
            <w:shd w:val="clear" w:color="auto" w:fill="B6FAFF" w:themeFill="accent6" w:themeFillTint="66"/>
          </w:tcPr>
          <w:p w14:paraId="3BB71020" w14:textId="77777777" w:rsidR="00CA72E5" w:rsidRDefault="00CA72E5" w:rsidP="00B16B49">
            <w:pPr>
              <w:rPr>
                <w:rStyle w:val="eop"/>
                <w:b/>
                <w:color w:val="auto"/>
                <w:sz w:val="24"/>
              </w:rPr>
            </w:pPr>
          </w:p>
        </w:tc>
        <w:tc>
          <w:tcPr>
            <w:tcW w:w="500" w:type="pct"/>
            <w:shd w:val="clear" w:color="auto" w:fill="B6FAFF" w:themeFill="accent6" w:themeFillTint="66"/>
          </w:tcPr>
          <w:p w14:paraId="78F26F18" w14:textId="77777777" w:rsidR="00CA72E5" w:rsidRDefault="00CA72E5" w:rsidP="00B16B49">
            <w:pPr>
              <w:rPr>
                <w:rStyle w:val="eop"/>
                <w:b/>
                <w:color w:val="auto"/>
                <w:sz w:val="24"/>
              </w:rPr>
            </w:pPr>
          </w:p>
        </w:tc>
        <w:tc>
          <w:tcPr>
            <w:tcW w:w="500" w:type="pct"/>
            <w:shd w:val="clear" w:color="auto" w:fill="B6FAFF" w:themeFill="accent6" w:themeFillTint="66"/>
          </w:tcPr>
          <w:p w14:paraId="079CD2E6" w14:textId="77777777" w:rsidR="00CA72E5" w:rsidRDefault="00CA72E5" w:rsidP="00B16B49">
            <w:pPr>
              <w:rPr>
                <w:rStyle w:val="eop"/>
                <w:b/>
                <w:color w:val="auto"/>
                <w:sz w:val="24"/>
              </w:rPr>
            </w:pPr>
          </w:p>
        </w:tc>
        <w:tc>
          <w:tcPr>
            <w:tcW w:w="500" w:type="pct"/>
            <w:shd w:val="clear" w:color="auto" w:fill="B6FAFF" w:themeFill="accent6" w:themeFillTint="66"/>
          </w:tcPr>
          <w:p w14:paraId="265379AE" w14:textId="77777777" w:rsidR="00CA72E5" w:rsidRDefault="00CA72E5" w:rsidP="00B16B49">
            <w:pPr>
              <w:rPr>
                <w:rStyle w:val="eop"/>
                <w:b/>
                <w:color w:val="auto"/>
                <w:sz w:val="24"/>
              </w:rPr>
            </w:pPr>
          </w:p>
        </w:tc>
        <w:tc>
          <w:tcPr>
            <w:tcW w:w="501" w:type="pct"/>
            <w:shd w:val="clear" w:color="auto" w:fill="B6FAFF" w:themeFill="accent6" w:themeFillTint="66"/>
          </w:tcPr>
          <w:p w14:paraId="6B6FBD8F" w14:textId="77777777" w:rsidR="00CA72E5" w:rsidRDefault="00CA72E5" w:rsidP="00B16B49">
            <w:pPr>
              <w:rPr>
                <w:rStyle w:val="eop"/>
                <w:b/>
                <w:color w:val="auto"/>
                <w:sz w:val="24"/>
              </w:rPr>
            </w:pPr>
          </w:p>
        </w:tc>
      </w:tr>
      <w:tr w:rsidR="00CA72E5" w14:paraId="090B2D60" w14:textId="77777777" w:rsidTr="00B16B49">
        <w:tc>
          <w:tcPr>
            <w:tcW w:w="498" w:type="pct"/>
            <w:shd w:val="clear" w:color="auto" w:fill="69EECB" w:themeFill="accent1" w:themeFillTint="99"/>
          </w:tcPr>
          <w:p w14:paraId="6B503167" w14:textId="77777777" w:rsidR="00CA72E5" w:rsidRDefault="00CA72E5" w:rsidP="00B16B49">
            <w:pPr>
              <w:rPr>
                <w:rStyle w:val="eop"/>
                <w:b/>
                <w:color w:val="auto"/>
                <w:sz w:val="24"/>
              </w:rPr>
            </w:pPr>
          </w:p>
        </w:tc>
        <w:tc>
          <w:tcPr>
            <w:tcW w:w="500" w:type="pct"/>
            <w:shd w:val="clear" w:color="auto" w:fill="69EECB" w:themeFill="accent1" w:themeFillTint="99"/>
          </w:tcPr>
          <w:p w14:paraId="7E841AF9" w14:textId="77777777" w:rsidR="00CA72E5" w:rsidRDefault="00CA72E5" w:rsidP="00B16B49">
            <w:pPr>
              <w:rPr>
                <w:rStyle w:val="eop"/>
                <w:b/>
                <w:color w:val="auto"/>
                <w:sz w:val="24"/>
              </w:rPr>
            </w:pPr>
          </w:p>
        </w:tc>
        <w:tc>
          <w:tcPr>
            <w:tcW w:w="500" w:type="pct"/>
            <w:shd w:val="clear" w:color="auto" w:fill="69EECB" w:themeFill="accent1" w:themeFillTint="99"/>
          </w:tcPr>
          <w:p w14:paraId="2D0BCBA7" w14:textId="77777777" w:rsidR="00CA72E5" w:rsidRDefault="00CA72E5" w:rsidP="00B16B49">
            <w:pPr>
              <w:rPr>
                <w:rStyle w:val="eop"/>
                <w:b/>
                <w:color w:val="auto"/>
                <w:sz w:val="24"/>
              </w:rPr>
            </w:pPr>
          </w:p>
        </w:tc>
        <w:tc>
          <w:tcPr>
            <w:tcW w:w="500" w:type="pct"/>
            <w:shd w:val="clear" w:color="auto" w:fill="69EECB" w:themeFill="accent1" w:themeFillTint="99"/>
          </w:tcPr>
          <w:p w14:paraId="38908F9F" w14:textId="77777777" w:rsidR="00CA72E5" w:rsidRDefault="00CA72E5" w:rsidP="00B16B49">
            <w:pPr>
              <w:rPr>
                <w:rStyle w:val="eop"/>
                <w:b/>
                <w:color w:val="auto"/>
                <w:sz w:val="24"/>
              </w:rPr>
            </w:pPr>
          </w:p>
        </w:tc>
        <w:tc>
          <w:tcPr>
            <w:tcW w:w="500" w:type="pct"/>
            <w:shd w:val="clear" w:color="auto" w:fill="B6FAFF" w:themeFill="accent6" w:themeFillTint="66"/>
          </w:tcPr>
          <w:p w14:paraId="1CE2AB51" w14:textId="77777777" w:rsidR="00CA72E5" w:rsidRDefault="00CA72E5" w:rsidP="00B16B49">
            <w:pPr>
              <w:rPr>
                <w:rStyle w:val="eop"/>
                <w:b/>
                <w:color w:val="auto"/>
                <w:sz w:val="24"/>
              </w:rPr>
            </w:pPr>
          </w:p>
        </w:tc>
        <w:tc>
          <w:tcPr>
            <w:tcW w:w="500" w:type="pct"/>
            <w:shd w:val="clear" w:color="auto" w:fill="B6FAFF" w:themeFill="accent6" w:themeFillTint="66"/>
          </w:tcPr>
          <w:p w14:paraId="3ED31320" w14:textId="77777777" w:rsidR="00CA72E5" w:rsidRDefault="00CA72E5" w:rsidP="00B16B49">
            <w:pPr>
              <w:rPr>
                <w:rStyle w:val="eop"/>
                <w:b/>
                <w:color w:val="auto"/>
                <w:sz w:val="24"/>
              </w:rPr>
            </w:pPr>
          </w:p>
        </w:tc>
        <w:tc>
          <w:tcPr>
            <w:tcW w:w="500" w:type="pct"/>
            <w:shd w:val="clear" w:color="auto" w:fill="B6FAFF" w:themeFill="accent6" w:themeFillTint="66"/>
          </w:tcPr>
          <w:p w14:paraId="42917E27" w14:textId="77777777" w:rsidR="00CA72E5" w:rsidRDefault="00CA72E5" w:rsidP="00B16B49">
            <w:pPr>
              <w:rPr>
                <w:rStyle w:val="eop"/>
                <w:b/>
                <w:color w:val="auto"/>
                <w:sz w:val="24"/>
              </w:rPr>
            </w:pPr>
          </w:p>
        </w:tc>
        <w:tc>
          <w:tcPr>
            <w:tcW w:w="500" w:type="pct"/>
            <w:shd w:val="clear" w:color="auto" w:fill="B6FAFF" w:themeFill="accent6" w:themeFillTint="66"/>
          </w:tcPr>
          <w:p w14:paraId="62A17B9A" w14:textId="77777777" w:rsidR="00CA72E5" w:rsidRDefault="00CA72E5" w:rsidP="00B16B49">
            <w:pPr>
              <w:rPr>
                <w:rStyle w:val="eop"/>
                <w:b/>
                <w:color w:val="auto"/>
                <w:sz w:val="24"/>
              </w:rPr>
            </w:pPr>
          </w:p>
        </w:tc>
        <w:tc>
          <w:tcPr>
            <w:tcW w:w="500" w:type="pct"/>
            <w:shd w:val="clear" w:color="auto" w:fill="B6FAFF" w:themeFill="accent6" w:themeFillTint="66"/>
          </w:tcPr>
          <w:p w14:paraId="680FB030" w14:textId="77777777" w:rsidR="00CA72E5" w:rsidRDefault="00CA72E5" w:rsidP="00B16B49">
            <w:pPr>
              <w:rPr>
                <w:rStyle w:val="eop"/>
                <w:b/>
                <w:color w:val="auto"/>
                <w:sz w:val="24"/>
              </w:rPr>
            </w:pPr>
          </w:p>
        </w:tc>
        <w:tc>
          <w:tcPr>
            <w:tcW w:w="501" w:type="pct"/>
            <w:shd w:val="clear" w:color="auto" w:fill="B6FAFF" w:themeFill="accent6" w:themeFillTint="66"/>
          </w:tcPr>
          <w:p w14:paraId="3CE71B32" w14:textId="77777777" w:rsidR="00CA72E5" w:rsidRDefault="00CA72E5" w:rsidP="00B16B49">
            <w:pPr>
              <w:rPr>
                <w:rStyle w:val="eop"/>
                <w:b/>
                <w:color w:val="auto"/>
                <w:sz w:val="24"/>
              </w:rPr>
            </w:pPr>
          </w:p>
        </w:tc>
      </w:tr>
      <w:tr w:rsidR="00CA72E5" w14:paraId="49CFB976" w14:textId="77777777" w:rsidTr="00B16B49">
        <w:tc>
          <w:tcPr>
            <w:tcW w:w="498" w:type="pct"/>
            <w:shd w:val="clear" w:color="auto" w:fill="69EECB" w:themeFill="accent1" w:themeFillTint="99"/>
          </w:tcPr>
          <w:p w14:paraId="0CD8780C" w14:textId="77777777" w:rsidR="00CA72E5" w:rsidRDefault="00CA72E5" w:rsidP="00B16B49">
            <w:pPr>
              <w:rPr>
                <w:rStyle w:val="eop"/>
                <w:b/>
                <w:color w:val="auto"/>
                <w:sz w:val="24"/>
              </w:rPr>
            </w:pPr>
          </w:p>
        </w:tc>
        <w:tc>
          <w:tcPr>
            <w:tcW w:w="500" w:type="pct"/>
            <w:shd w:val="clear" w:color="auto" w:fill="69EECB" w:themeFill="accent1" w:themeFillTint="99"/>
          </w:tcPr>
          <w:p w14:paraId="6782125D" w14:textId="77777777" w:rsidR="00CA72E5" w:rsidRDefault="00CA72E5" w:rsidP="00B16B49">
            <w:pPr>
              <w:rPr>
                <w:rStyle w:val="eop"/>
                <w:b/>
                <w:color w:val="auto"/>
                <w:sz w:val="24"/>
              </w:rPr>
            </w:pPr>
          </w:p>
        </w:tc>
        <w:tc>
          <w:tcPr>
            <w:tcW w:w="500" w:type="pct"/>
            <w:shd w:val="clear" w:color="auto" w:fill="69EECB" w:themeFill="accent1" w:themeFillTint="99"/>
          </w:tcPr>
          <w:p w14:paraId="040767DC" w14:textId="77777777" w:rsidR="00CA72E5" w:rsidRDefault="00CA72E5" w:rsidP="00B16B49">
            <w:pPr>
              <w:rPr>
                <w:rStyle w:val="eop"/>
                <w:b/>
                <w:color w:val="auto"/>
                <w:sz w:val="24"/>
              </w:rPr>
            </w:pPr>
          </w:p>
        </w:tc>
        <w:tc>
          <w:tcPr>
            <w:tcW w:w="500" w:type="pct"/>
            <w:shd w:val="clear" w:color="auto" w:fill="69EECB" w:themeFill="accent1" w:themeFillTint="99"/>
          </w:tcPr>
          <w:p w14:paraId="2B280FE1" w14:textId="77777777" w:rsidR="00CA72E5" w:rsidRDefault="00CA72E5" w:rsidP="00B16B49">
            <w:pPr>
              <w:rPr>
                <w:rStyle w:val="eop"/>
                <w:b/>
                <w:color w:val="auto"/>
                <w:sz w:val="24"/>
              </w:rPr>
            </w:pPr>
          </w:p>
        </w:tc>
        <w:tc>
          <w:tcPr>
            <w:tcW w:w="500" w:type="pct"/>
            <w:shd w:val="clear" w:color="auto" w:fill="B6FAFF" w:themeFill="accent6" w:themeFillTint="66"/>
          </w:tcPr>
          <w:p w14:paraId="3AF603FA" w14:textId="77777777" w:rsidR="00CA72E5" w:rsidRDefault="00CA72E5" w:rsidP="00B16B49">
            <w:pPr>
              <w:rPr>
                <w:rStyle w:val="eop"/>
                <w:b/>
                <w:color w:val="auto"/>
                <w:sz w:val="24"/>
              </w:rPr>
            </w:pPr>
          </w:p>
        </w:tc>
        <w:tc>
          <w:tcPr>
            <w:tcW w:w="500" w:type="pct"/>
            <w:shd w:val="clear" w:color="auto" w:fill="B6FAFF" w:themeFill="accent6" w:themeFillTint="66"/>
          </w:tcPr>
          <w:p w14:paraId="0B03747A" w14:textId="77777777" w:rsidR="00CA72E5" w:rsidRDefault="00CA72E5" w:rsidP="00B16B49">
            <w:pPr>
              <w:rPr>
                <w:rStyle w:val="eop"/>
                <w:b/>
                <w:color w:val="auto"/>
                <w:sz w:val="24"/>
              </w:rPr>
            </w:pPr>
          </w:p>
        </w:tc>
        <w:tc>
          <w:tcPr>
            <w:tcW w:w="500" w:type="pct"/>
            <w:shd w:val="clear" w:color="auto" w:fill="B6FAFF" w:themeFill="accent6" w:themeFillTint="66"/>
          </w:tcPr>
          <w:p w14:paraId="1E9819F4" w14:textId="77777777" w:rsidR="00CA72E5" w:rsidRDefault="00CA72E5" w:rsidP="00B16B49">
            <w:pPr>
              <w:rPr>
                <w:rStyle w:val="eop"/>
                <w:b/>
                <w:color w:val="auto"/>
                <w:sz w:val="24"/>
              </w:rPr>
            </w:pPr>
          </w:p>
        </w:tc>
        <w:tc>
          <w:tcPr>
            <w:tcW w:w="500" w:type="pct"/>
            <w:shd w:val="clear" w:color="auto" w:fill="B6FAFF" w:themeFill="accent6" w:themeFillTint="66"/>
          </w:tcPr>
          <w:p w14:paraId="4C2870DE" w14:textId="77777777" w:rsidR="00CA72E5" w:rsidRDefault="00CA72E5" w:rsidP="00B16B49">
            <w:pPr>
              <w:rPr>
                <w:rStyle w:val="eop"/>
                <w:b/>
                <w:color w:val="auto"/>
                <w:sz w:val="24"/>
              </w:rPr>
            </w:pPr>
          </w:p>
        </w:tc>
        <w:tc>
          <w:tcPr>
            <w:tcW w:w="500" w:type="pct"/>
            <w:shd w:val="clear" w:color="auto" w:fill="B6FAFF" w:themeFill="accent6" w:themeFillTint="66"/>
          </w:tcPr>
          <w:p w14:paraId="467EDC93" w14:textId="77777777" w:rsidR="00CA72E5" w:rsidRDefault="00CA72E5" w:rsidP="00B16B49">
            <w:pPr>
              <w:rPr>
                <w:rStyle w:val="eop"/>
                <w:b/>
                <w:color w:val="auto"/>
                <w:sz w:val="24"/>
              </w:rPr>
            </w:pPr>
          </w:p>
        </w:tc>
        <w:tc>
          <w:tcPr>
            <w:tcW w:w="501" w:type="pct"/>
            <w:shd w:val="clear" w:color="auto" w:fill="FBB7BB" w:themeFill="accent5" w:themeFillTint="33"/>
          </w:tcPr>
          <w:p w14:paraId="0BE0CAC6" w14:textId="77777777" w:rsidR="00CA72E5" w:rsidRDefault="00CA72E5" w:rsidP="00B16B49">
            <w:pPr>
              <w:rPr>
                <w:rStyle w:val="eop"/>
                <w:b/>
                <w:color w:val="auto"/>
                <w:sz w:val="24"/>
              </w:rPr>
            </w:pPr>
          </w:p>
        </w:tc>
      </w:tr>
      <w:tr w:rsidR="00CA72E5" w14:paraId="5575D070" w14:textId="77777777" w:rsidTr="00B16B49">
        <w:tc>
          <w:tcPr>
            <w:tcW w:w="498" w:type="pct"/>
            <w:shd w:val="clear" w:color="auto" w:fill="69EECB" w:themeFill="accent1" w:themeFillTint="99"/>
          </w:tcPr>
          <w:p w14:paraId="410AD229" w14:textId="77777777" w:rsidR="00CA72E5" w:rsidRDefault="00CA72E5" w:rsidP="00B16B49">
            <w:pPr>
              <w:rPr>
                <w:rStyle w:val="eop"/>
                <w:b/>
                <w:color w:val="auto"/>
                <w:sz w:val="24"/>
              </w:rPr>
            </w:pPr>
          </w:p>
        </w:tc>
        <w:tc>
          <w:tcPr>
            <w:tcW w:w="500" w:type="pct"/>
            <w:shd w:val="clear" w:color="auto" w:fill="69EECB" w:themeFill="accent1" w:themeFillTint="99"/>
          </w:tcPr>
          <w:p w14:paraId="572D571E" w14:textId="77777777" w:rsidR="00CA72E5" w:rsidRDefault="00CA72E5" w:rsidP="00B16B49">
            <w:pPr>
              <w:rPr>
                <w:rStyle w:val="eop"/>
                <w:b/>
                <w:color w:val="auto"/>
                <w:sz w:val="24"/>
              </w:rPr>
            </w:pPr>
          </w:p>
        </w:tc>
        <w:tc>
          <w:tcPr>
            <w:tcW w:w="500" w:type="pct"/>
            <w:shd w:val="clear" w:color="auto" w:fill="69EECB" w:themeFill="accent1" w:themeFillTint="99"/>
          </w:tcPr>
          <w:p w14:paraId="01740D24" w14:textId="77777777" w:rsidR="00CA72E5" w:rsidRDefault="00CA72E5" w:rsidP="00B16B49">
            <w:pPr>
              <w:rPr>
                <w:rStyle w:val="eop"/>
                <w:b/>
                <w:color w:val="auto"/>
                <w:sz w:val="24"/>
              </w:rPr>
            </w:pPr>
          </w:p>
        </w:tc>
        <w:tc>
          <w:tcPr>
            <w:tcW w:w="500" w:type="pct"/>
            <w:shd w:val="clear" w:color="auto" w:fill="69EECB" w:themeFill="accent1" w:themeFillTint="99"/>
          </w:tcPr>
          <w:p w14:paraId="5C28DF7D" w14:textId="77777777" w:rsidR="00CA72E5" w:rsidRDefault="00CA72E5" w:rsidP="00B16B49">
            <w:pPr>
              <w:rPr>
                <w:rStyle w:val="eop"/>
                <w:b/>
                <w:color w:val="auto"/>
                <w:sz w:val="24"/>
              </w:rPr>
            </w:pPr>
          </w:p>
        </w:tc>
        <w:tc>
          <w:tcPr>
            <w:tcW w:w="500" w:type="pct"/>
            <w:shd w:val="clear" w:color="auto" w:fill="F22735" w:themeFill="accent5" w:themeFillTint="99"/>
          </w:tcPr>
          <w:p w14:paraId="2712AE35" w14:textId="77777777" w:rsidR="00CA72E5" w:rsidRDefault="00CA72E5" w:rsidP="00B16B49">
            <w:pPr>
              <w:rPr>
                <w:rStyle w:val="eop"/>
                <w:b/>
                <w:color w:val="auto"/>
                <w:sz w:val="24"/>
              </w:rPr>
            </w:pPr>
          </w:p>
        </w:tc>
        <w:tc>
          <w:tcPr>
            <w:tcW w:w="500" w:type="pct"/>
            <w:shd w:val="clear" w:color="auto" w:fill="F22735" w:themeFill="accent5" w:themeFillTint="99"/>
          </w:tcPr>
          <w:p w14:paraId="12B1E67F" w14:textId="77777777" w:rsidR="00CA72E5" w:rsidRDefault="00CA72E5" w:rsidP="00B16B49">
            <w:pPr>
              <w:rPr>
                <w:rStyle w:val="eop"/>
                <w:b/>
                <w:color w:val="auto"/>
                <w:sz w:val="24"/>
              </w:rPr>
            </w:pPr>
          </w:p>
        </w:tc>
        <w:tc>
          <w:tcPr>
            <w:tcW w:w="500" w:type="pct"/>
            <w:shd w:val="clear" w:color="auto" w:fill="FBB7BB" w:themeFill="accent5" w:themeFillTint="33"/>
          </w:tcPr>
          <w:p w14:paraId="4DE4554D" w14:textId="77777777" w:rsidR="00CA72E5" w:rsidRDefault="00CA72E5" w:rsidP="00B16B49">
            <w:pPr>
              <w:rPr>
                <w:rStyle w:val="eop"/>
                <w:b/>
                <w:color w:val="auto"/>
                <w:sz w:val="24"/>
              </w:rPr>
            </w:pPr>
          </w:p>
        </w:tc>
        <w:tc>
          <w:tcPr>
            <w:tcW w:w="500" w:type="pct"/>
            <w:shd w:val="clear" w:color="auto" w:fill="FBB7BB" w:themeFill="accent5" w:themeFillTint="33"/>
          </w:tcPr>
          <w:p w14:paraId="4BA94988" w14:textId="77777777" w:rsidR="00CA72E5" w:rsidRDefault="00CA72E5" w:rsidP="00B16B49">
            <w:pPr>
              <w:rPr>
                <w:rStyle w:val="eop"/>
                <w:b/>
                <w:color w:val="auto"/>
                <w:sz w:val="24"/>
              </w:rPr>
            </w:pPr>
          </w:p>
        </w:tc>
        <w:tc>
          <w:tcPr>
            <w:tcW w:w="500" w:type="pct"/>
            <w:shd w:val="clear" w:color="auto" w:fill="FBB7BB" w:themeFill="accent5" w:themeFillTint="33"/>
          </w:tcPr>
          <w:p w14:paraId="3876C916" w14:textId="77777777" w:rsidR="00CA72E5" w:rsidRDefault="00CA72E5" w:rsidP="00B16B49">
            <w:pPr>
              <w:rPr>
                <w:rStyle w:val="eop"/>
                <w:b/>
                <w:color w:val="auto"/>
                <w:sz w:val="24"/>
              </w:rPr>
            </w:pPr>
            <w:r w:rsidRPr="00B257F0">
              <w:rPr>
                <w:rStyle w:val="eop"/>
                <w:b/>
                <w:noProof/>
                <w:color w:val="auto"/>
                <w:sz w:val="24"/>
                <w:lang w:eastAsia="en-AU"/>
              </w:rPr>
              <mc:AlternateContent>
                <mc:Choice Requires="wps">
                  <w:drawing>
                    <wp:anchor distT="45720" distB="45720" distL="114300" distR="114300" simplePos="0" relativeHeight="251663360" behindDoc="0" locked="0" layoutInCell="1" allowOverlap="1" wp14:anchorId="3B3A4A8A" wp14:editId="464A7164">
                      <wp:simplePos x="0" y="0"/>
                      <wp:positionH relativeFrom="column">
                        <wp:posOffset>-855980</wp:posOffset>
                      </wp:positionH>
                      <wp:positionV relativeFrom="paragraph">
                        <wp:posOffset>25400</wp:posOffset>
                      </wp:positionV>
                      <wp:extent cx="1879600" cy="1404620"/>
                      <wp:effectExtent l="0" t="0" r="6350"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1404620"/>
                              </a:xfrm>
                              <a:prstGeom prst="rect">
                                <a:avLst/>
                              </a:prstGeom>
                              <a:solidFill>
                                <a:schemeClr val="accent5">
                                  <a:lumMod val="20000"/>
                                  <a:lumOff val="80000"/>
                                </a:schemeClr>
                              </a:solidFill>
                              <a:ln w="9525">
                                <a:noFill/>
                                <a:miter lim="800000"/>
                                <a:headEnd/>
                                <a:tailEnd/>
                              </a:ln>
                            </wps:spPr>
                            <wps:txbx>
                              <w:txbxContent>
                                <w:p w14:paraId="6B7F2907" w14:textId="77777777" w:rsidR="00B16B49" w:rsidRPr="00B257F0" w:rsidRDefault="00B16B49" w:rsidP="00CA72E5">
                                  <w:pPr>
                                    <w:rPr>
                                      <w:sz w:val="14"/>
                                      <w:szCs w:val="14"/>
                                    </w:rPr>
                                  </w:pPr>
                                  <w:r w:rsidRPr="00B257F0">
                                    <w:rPr>
                                      <w:sz w:val="14"/>
                                      <w:szCs w:val="14"/>
                                    </w:rPr>
                                    <w:t xml:space="preserve">9 wellbeing and adaptation policies and programs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3A4A8A" id="_x0000_s1029" type="#_x0000_t202" style="position:absolute;margin-left:-67.4pt;margin-top:2pt;width:14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" fillcolor="#fbb7bb [664]" stroked="f">
                      <v:textbox style="mso-fit-shape-to-text:t">
                        <w:txbxContent>
                          <w:p w14:paraId="6B7F2907" w14:textId="77777777" w:rsidR="00B16B49" w:rsidRPr="00B257F0" w:rsidRDefault="00B16B49" w:rsidP="00CA72E5">
                            <w:pPr>
                              <w:rPr>
                                <w:sz w:val="14"/>
                                <w:szCs w:val="14"/>
                              </w:rPr>
                            </w:pPr>
                            <w:r w:rsidRPr="00B257F0">
                              <w:rPr>
                                <w:sz w:val="14"/>
                                <w:szCs w:val="14"/>
                              </w:rPr>
                              <w:t xml:space="preserve">9 wellbeing and adaptation policies and programs </w:t>
                            </w:r>
                          </w:p>
                        </w:txbxContent>
                      </v:textbox>
                    </v:shape>
                  </w:pict>
                </mc:Fallback>
              </mc:AlternateContent>
            </w:r>
          </w:p>
        </w:tc>
        <w:tc>
          <w:tcPr>
            <w:tcW w:w="501" w:type="pct"/>
            <w:shd w:val="clear" w:color="auto" w:fill="FBB7BB" w:themeFill="accent5" w:themeFillTint="33"/>
          </w:tcPr>
          <w:p w14:paraId="400D334C" w14:textId="77777777" w:rsidR="00CA72E5" w:rsidRDefault="00CA72E5" w:rsidP="00B16B49">
            <w:pPr>
              <w:rPr>
                <w:rStyle w:val="eop"/>
                <w:b/>
                <w:color w:val="auto"/>
                <w:sz w:val="24"/>
              </w:rPr>
            </w:pPr>
          </w:p>
        </w:tc>
      </w:tr>
      <w:tr w:rsidR="00CA72E5" w14:paraId="46ABC0EB" w14:textId="77777777" w:rsidTr="00B16B49">
        <w:tc>
          <w:tcPr>
            <w:tcW w:w="498" w:type="pct"/>
            <w:shd w:val="clear" w:color="auto" w:fill="69EECB" w:themeFill="accent1" w:themeFillTint="99"/>
          </w:tcPr>
          <w:p w14:paraId="23CA2CC2" w14:textId="77777777" w:rsidR="00CA72E5" w:rsidRDefault="00CA72E5" w:rsidP="00B16B49">
            <w:pPr>
              <w:rPr>
                <w:rStyle w:val="eop"/>
                <w:b/>
                <w:color w:val="auto"/>
                <w:sz w:val="24"/>
              </w:rPr>
            </w:pPr>
          </w:p>
        </w:tc>
        <w:tc>
          <w:tcPr>
            <w:tcW w:w="500" w:type="pct"/>
            <w:shd w:val="clear" w:color="auto" w:fill="69EECB" w:themeFill="accent1" w:themeFillTint="99"/>
          </w:tcPr>
          <w:p w14:paraId="1E23E0AD" w14:textId="77777777" w:rsidR="00CA72E5" w:rsidRDefault="00CA72E5" w:rsidP="00B16B49">
            <w:pPr>
              <w:rPr>
                <w:rStyle w:val="eop"/>
                <w:b/>
                <w:color w:val="auto"/>
                <w:sz w:val="24"/>
              </w:rPr>
            </w:pPr>
          </w:p>
        </w:tc>
        <w:tc>
          <w:tcPr>
            <w:tcW w:w="500" w:type="pct"/>
            <w:shd w:val="clear" w:color="auto" w:fill="69EECB" w:themeFill="accent1" w:themeFillTint="99"/>
          </w:tcPr>
          <w:p w14:paraId="616F0A4A" w14:textId="77777777" w:rsidR="00CA72E5" w:rsidRDefault="00CA72E5" w:rsidP="00B16B49">
            <w:pPr>
              <w:rPr>
                <w:rStyle w:val="eop"/>
                <w:b/>
                <w:color w:val="auto"/>
                <w:sz w:val="24"/>
              </w:rPr>
            </w:pPr>
          </w:p>
        </w:tc>
        <w:tc>
          <w:tcPr>
            <w:tcW w:w="500" w:type="pct"/>
            <w:shd w:val="clear" w:color="auto" w:fill="69EECB" w:themeFill="accent1" w:themeFillTint="99"/>
          </w:tcPr>
          <w:p w14:paraId="7BEA909F" w14:textId="77777777" w:rsidR="00CA72E5" w:rsidRDefault="00CA72E5" w:rsidP="00B16B49">
            <w:pPr>
              <w:rPr>
                <w:rStyle w:val="eop"/>
                <w:b/>
                <w:color w:val="auto"/>
                <w:sz w:val="24"/>
              </w:rPr>
            </w:pPr>
          </w:p>
        </w:tc>
        <w:tc>
          <w:tcPr>
            <w:tcW w:w="500" w:type="pct"/>
            <w:shd w:val="clear" w:color="auto" w:fill="F22735" w:themeFill="accent5" w:themeFillTint="99"/>
          </w:tcPr>
          <w:p w14:paraId="70BB187F" w14:textId="77777777" w:rsidR="00CA72E5" w:rsidRDefault="00CA72E5" w:rsidP="00B16B49">
            <w:pPr>
              <w:rPr>
                <w:rStyle w:val="eop"/>
                <w:b/>
                <w:color w:val="auto"/>
                <w:sz w:val="24"/>
              </w:rPr>
            </w:pPr>
          </w:p>
        </w:tc>
        <w:tc>
          <w:tcPr>
            <w:tcW w:w="500" w:type="pct"/>
            <w:shd w:val="clear" w:color="auto" w:fill="F22735" w:themeFill="accent5" w:themeFillTint="99"/>
          </w:tcPr>
          <w:p w14:paraId="54A7C057" w14:textId="77777777" w:rsidR="00CA72E5" w:rsidRDefault="00CA72E5" w:rsidP="00B16B49">
            <w:pPr>
              <w:rPr>
                <w:rStyle w:val="eop"/>
                <w:b/>
                <w:color w:val="auto"/>
                <w:sz w:val="24"/>
              </w:rPr>
            </w:pPr>
          </w:p>
        </w:tc>
        <w:tc>
          <w:tcPr>
            <w:tcW w:w="500" w:type="pct"/>
            <w:shd w:val="clear" w:color="auto" w:fill="FBB7BB" w:themeFill="accent5" w:themeFillTint="33"/>
          </w:tcPr>
          <w:p w14:paraId="428A9B5A" w14:textId="77777777" w:rsidR="00CA72E5" w:rsidRDefault="00CA72E5" w:rsidP="00B16B49">
            <w:pPr>
              <w:rPr>
                <w:rStyle w:val="eop"/>
                <w:b/>
                <w:color w:val="auto"/>
                <w:sz w:val="24"/>
              </w:rPr>
            </w:pPr>
          </w:p>
        </w:tc>
        <w:tc>
          <w:tcPr>
            <w:tcW w:w="500" w:type="pct"/>
            <w:shd w:val="clear" w:color="auto" w:fill="FBB7BB" w:themeFill="accent5" w:themeFillTint="33"/>
          </w:tcPr>
          <w:p w14:paraId="5A76AC0D" w14:textId="77777777" w:rsidR="00CA72E5" w:rsidRDefault="00CA72E5" w:rsidP="00B16B49">
            <w:pPr>
              <w:rPr>
                <w:rStyle w:val="eop"/>
                <w:b/>
                <w:color w:val="auto"/>
                <w:sz w:val="24"/>
              </w:rPr>
            </w:pPr>
          </w:p>
        </w:tc>
        <w:tc>
          <w:tcPr>
            <w:tcW w:w="500" w:type="pct"/>
            <w:shd w:val="clear" w:color="auto" w:fill="FBB7BB" w:themeFill="accent5" w:themeFillTint="33"/>
          </w:tcPr>
          <w:p w14:paraId="15B35F31" w14:textId="77777777" w:rsidR="00CA72E5" w:rsidRDefault="00CA72E5" w:rsidP="00B16B49">
            <w:pPr>
              <w:rPr>
                <w:rStyle w:val="eop"/>
                <w:b/>
                <w:color w:val="auto"/>
                <w:sz w:val="24"/>
              </w:rPr>
            </w:pPr>
          </w:p>
        </w:tc>
        <w:tc>
          <w:tcPr>
            <w:tcW w:w="501" w:type="pct"/>
            <w:shd w:val="clear" w:color="auto" w:fill="FBB7BB" w:themeFill="accent5" w:themeFillTint="33"/>
          </w:tcPr>
          <w:p w14:paraId="1D57A6EE" w14:textId="77777777" w:rsidR="00CA72E5" w:rsidRDefault="00CA72E5" w:rsidP="00B16B49">
            <w:pPr>
              <w:rPr>
                <w:rStyle w:val="eop"/>
                <w:b/>
                <w:color w:val="auto"/>
                <w:sz w:val="24"/>
              </w:rPr>
            </w:pPr>
          </w:p>
        </w:tc>
      </w:tr>
      <w:tr w:rsidR="00CA72E5" w14:paraId="78856DDF" w14:textId="77777777" w:rsidTr="00B16B49">
        <w:tc>
          <w:tcPr>
            <w:tcW w:w="498" w:type="pct"/>
            <w:shd w:val="clear" w:color="auto" w:fill="69EECB" w:themeFill="accent1" w:themeFillTint="99"/>
          </w:tcPr>
          <w:p w14:paraId="4614C3A6" w14:textId="77777777" w:rsidR="00CA72E5" w:rsidRDefault="00CA72E5" w:rsidP="00B16B49">
            <w:pPr>
              <w:rPr>
                <w:rStyle w:val="eop"/>
                <w:b/>
                <w:color w:val="auto"/>
                <w:sz w:val="24"/>
              </w:rPr>
            </w:pPr>
          </w:p>
        </w:tc>
        <w:tc>
          <w:tcPr>
            <w:tcW w:w="500" w:type="pct"/>
            <w:shd w:val="clear" w:color="auto" w:fill="69EECB" w:themeFill="accent1" w:themeFillTint="99"/>
          </w:tcPr>
          <w:p w14:paraId="25A28DB3" w14:textId="77777777" w:rsidR="00CA72E5" w:rsidRDefault="00CA72E5" w:rsidP="00B16B49">
            <w:pPr>
              <w:rPr>
                <w:rStyle w:val="eop"/>
                <w:b/>
                <w:color w:val="auto"/>
                <w:sz w:val="24"/>
              </w:rPr>
            </w:pPr>
          </w:p>
        </w:tc>
        <w:tc>
          <w:tcPr>
            <w:tcW w:w="500" w:type="pct"/>
            <w:shd w:val="clear" w:color="auto" w:fill="69EECB" w:themeFill="accent1" w:themeFillTint="99"/>
          </w:tcPr>
          <w:p w14:paraId="6822D00F" w14:textId="77777777" w:rsidR="00CA72E5" w:rsidRDefault="00CA72E5" w:rsidP="00B16B49">
            <w:pPr>
              <w:rPr>
                <w:rStyle w:val="eop"/>
                <w:b/>
                <w:color w:val="auto"/>
                <w:sz w:val="24"/>
              </w:rPr>
            </w:pPr>
          </w:p>
        </w:tc>
        <w:tc>
          <w:tcPr>
            <w:tcW w:w="500" w:type="pct"/>
            <w:shd w:val="clear" w:color="auto" w:fill="69EECB" w:themeFill="accent1" w:themeFillTint="99"/>
          </w:tcPr>
          <w:p w14:paraId="1A94CCF5" w14:textId="77777777" w:rsidR="00CA72E5" w:rsidRDefault="00CA72E5" w:rsidP="00B16B49">
            <w:pPr>
              <w:rPr>
                <w:rStyle w:val="eop"/>
                <w:b/>
                <w:color w:val="auto"/>
                <w:sz w:val="24"/>
              </w:rPr>
            </w:pPr>
          </w:p>
        </w:tc>
        <w:tc>
          <w:tcPr>
            <w:tcW w:w="500" w:type="pct"/>
            <w:shd w:val="clear" w:color="auto" w:fill="F22735" w:themeFill="accent5" w:themeFillTint="99"/>
          </w:tcPr>
          <w:p w14:paraId="59878FFF" w14:textId="77777777" w:rsidR="00CA72E5" w:rsidRDefault="00CA72E5" w:rsidP="00B16B49">
            <w:pPr>
              <w:rPr>
                <w:rStyle w:val="eop"/>
                <w:b/>
                <w:color w:val="auto"/>
                <w:sz w:val="24"/>
              </w:rPr>
            </w:pPr>
          </w:p>
        </w:tc>
        <w:tc>
          <w:tcPr>
            <w:tcW w:w="500" w:type="pct"/>
            <w:shd w:val="clear" w:color="auto" w:fill="F22735" w:themeFill="accent5" w:themeFillTint="99"/>
          </w:tcPr>
          <w:p w14:paraId="40ABFDEE" w14:textId="77777777" w:rsidR="00CA72E5" w:rsidRDefault="00CA72E5" w:rsidP="00B16B49">
            <w:pPr>
              <w:rPr>
                <w:rStyle w:val="eop"/>
                <w:b/>
                <w:color w:val="auto"/>
                <w:sz w:val="24"/>
              </w:rPr>
            </w:pPr>
          </w:p>
        </w:tc>
        <w:tc>
          <w:tcPr>
            <w:tcW w:w="500" w:type="pct"/>
            <w:shd w:val="clear" w:color="auto" w:fill="00AC78" w:themeFill="accent2" w:themeFillTint="BF"/>
          </w:tcPr>
          <w:p w14:paraId="21397A91" w14:textId="77777777" w:rsidR="00CA72E5" w:rsidRDefault="00CA72E5" w:rsidP="00B16B49">
            <w:pPr>
              <w:rPr>
                <w:rStyle w:val="eop"/>
                <w:b/>
                <w:color w:val="auto"/>
                <w:sz w:val="24"/>
              </w:rPr>
            </w:pPr>
          </w:p>
        </w:tc>
        <w:tc>
          <w:tcPr>
            <w:tcW w:w="500" w:type="pct"/>
            <w:shd w:val="clear" w:color="auto" w:fill="00AC78" w:themeFill="accent2" w:themeFillTint="BF"/>
          </w:tcPr>
          <w:p w14:paraId="351FBDC1" w14:textId="77777777" w:rsidR="00CA72E5" w:rsidRDefault="00CA72E5" w:rsidP="00B16B49">
            <w:pPr>
              <w:rPr>
                <w:rStyle w:val="eop"/>
                <w:b/>
                <w:color w:val="auto"/>
                <w:sz w:val="24"/>
              </w:rPr>
            </w:pPr>
          </w:p>
        </w:tc>
        <w:tc>
          <w:tcPr>
            <w:tcW w:w="500" w:type="pct"/>
            <w:shd w:val="clear" w:color="auto" w:fill="00AC78" w:themeFill="accent2" w:themeFillTint="BF"/>
          </w:tcPr>
          <w:p w14:paraId="1DBF6DFB" w14:textId="77777777" w:rsidR="00CA72E5" w:rsidRDefault="00CA72E5" w:rsidP="00B16B49">
            <w:pPr>
              <w:rPr>
                <w:rStyle w:val="eop"/>
                <w:b/>
                <w:color w:val="auto"/>
                <w:sz w:val="24"/>
              </w:rPr>
            </w:pPr>
          </w:p>
        </w:tc>
        <w:tc>
          <w:tcPr>
            <w:tcW w:w="501" w:type="pct"/>
            <w:shd w:val="clear" w:color="auto" w:fill="00AC78" w:themeFill="accent2" w:themeFillTint="BF"/>
          </w:tcPr>
          <w:p w14:paraId="53EAF9FE" w14:textId="77777777" w:rsidR="00CA72E5" w:rsidRDefault="00CA72E5" w:rsidP="00B16B49">
            <w:pPr>
              <w:rPr>
                <w:rStyle w:val="eop"/>
                <w:b/>
                <w:color w:val="auto"/>
                <w:sz w:val="24"/>
              </w:rPr>
            </w:pPr>
          </w:p>
        </w:tc>
      </w:tr>
      <w:tr w:rsidR="00CA72E5" w14:paraId="45658998" w14:textId="77777777" w:rsidTr="00B16B49">
        <w:tc>
          <w:tcPr>
            <w:tcW w:w="498" w:type="pct"/>
            <w:shd w:val="clear" w:color="auto" w:fill="69EECB" w:themeFill="accent1" w:themeFillTint="99"/>
          </w:tcPr>
          <w:p w14:paraId="31D4F3BB" w14:textId="77777777" w:rsidR="00CA72E5" w:rsidRDefault="00CA72E5" w:rsidP="00B16B49">
            <w:pPr>
              <w:rPr>
                <w:rStyle w:val="eop"/>
                <w:b/>
                <w:color w:val="auto"/>
                <w:sz w:val="24"/>
              </w:rPr>
            </w:pPr>
          </w:p>
        </w:tc>
        <w:tc>
          <w:tcPr>
            <w:tcW w:w="500" w:type="pct"/>
            <w:shd w:val="clear" w:color="auto" w:fill="69EECB" w:themeFill="accent1" w:themeFillTint="99"/>
          </w:tcPr>
          <w:p w14:paraId="5197202E" w14:textId="77777777" w:rsidR="00CA72E5" w:rsidRDefault="00CA72E5" w:rsidP="00B16B49">
            <w:pPr>
              <w:rPr>
                <w:rStyle w:val="eop"/>
                <w:b/>
                <w:color w:val="auto"/>
                <w:sz w:val="24"/>
              </w:rPr>
            </w:pPr>
          </w:p>
        </w:tc>
        <w:tc>
          <w:tcPr>
            <w:tcW w:w="500" w:type="pct"/>
            <w:shd w:val="clear" w:color="auto" w:fill="69EECB" w:themeFill="accent1" w:themeFillTint="99"/>
          </w:tcPr>
          <w:p w14:paraId="2DBA56FC" w14:textId="77777777" w:rsidR="00CA72E5" w:rsidRDefault="00CA72E5" w:rsidP="00B16B49">
            <w:pPr>
              <w:rPr>
                <w:rStyle w:val="eop"/>
                <w:b/>
                <w:color w:val="auto"/>
                <w:sz w:val="24"/>
              </w:rPr>
            </w:pPr>
          </w:p>
        </w:tc>
        <w:tc>
          <w:tcPr>
            <w:tcW w:w="500" w:type="pct"/>
            <w:shd w:val="clear" w:color="auto" w:fill="69EECB" w:themeFill="accent1" w:themeFillTint="99"/>
          </w:tcPr>
          <w:p w14:paraId="60A7C5F4" w14:textId="77777777" w:rsidR="00CA72E5" w:rsidRDefault="00CA72E5" w:rsidP="00B16B49">
            <w:pPr>
              <w:rPr>
                <w:rStyle w:val="eop"/>
                <w:b/>
                <w:color w:val="auto"/>
                <w:sz w:val="24"/>
              </w:rPr>
            </w:pPr>
          </w:p>
        </w:tc>
        <w:tc>
          <w:tcPr>
            <w:tcW w:w="500" w:type="pct"/>
            <w:shd w:val="clear" w:color="auto" w:fill="F22735" w:themeFill="accent5" w:themeFillTint="99"/>
          </w:tcPr>
          <w:p w14:paraId="1F621BA0" w14:textId="77777777" w:rsidR="00CA72E5" w:rsidRDefault="00CA72E5" w:rsidP="00B16B49">
            <w:pPr>
              <w:rPr>
                <w:rStyle w:val="eop"/>
                <w:b/>
                <w:color w:val="auto"/>
                <w:sz w:val="24"/>
              </w:rPr>
            </w:pPr>
          </w:p>
        </w:tc>
        <w:tc>
          <w:tcPr>
            <w:tcW w:w="500" w:type="pct"/>
            <w:shd w:val="clear" w:color="auto" w:fill="F22735" w:themeFill="accent5" w:themeFillTint="99"/>
          </w:tcPr>
          <w:p w14:paraId="11CA97E1" w14:textId="77777777" w:rsidR="00CA72E5" w:rsidRDefault="00CA72E5" w:rsidP="00B16B49">
            <w:pPr>
              <w:rPr>
                <w:rStyle w:val="eop"/>
                <w:b/>
                <w:color w:val="auto"/>
                <w:sz w:val="24"/>
              </w:rPr>
            </w:pPr>
          </w:p>
        </w:tc>
        <w:tc>
          <w:tcPr>
            <w:tcW w:w="500" w:type="pct"/>
            <w:shd w:val="clear" w:color="auto" w:fill="00AC78" w:themeFill="accent2" w:themeFillTint="BF"/>
          </w:tcPr>
          <w:p w14:paraId="2431428B" w14:textId="77777777" w:rsidR="00CA72E5" w:rsidRDefault="00CA72E5" w:rsidP="00B16B49">
            <w:pPr>
              <w:rPr>
                <w:rStyle w:val="eop"/>
                <w:b/>
                <w:color w:val="auto"/>
                <w:sz w:val="24"/>
              </w:rPr>
            </w:pPr>
          </w:p>
        </w:tc>
        <w:tc>
          <w:tcPr>
            <w:tcW w:w="500" w:type="pct"/>
            <w:shd w:val="clear" w:color="auto" w:fill="00AC78" w:themeFill="accent2" w:themeFillTint="BF"/>
          </w:tcPr>
          <w:p w14:paraId="10D2A3FE" w14:textId="77777777" w:rsidR="00CA72E5" w:rsidRDefault="00CA72E5" w:rsidP="00B16B49">
            <w:pPr>
              <w:rPr>
                <w:rStyle w:val="eop"/>
                <w:b/>
                <w:color w:val="auto"/>
                <w:sz w:val="24"/>
              </w:rPr>
            </w:pPr>
            <w:r w:rsidRPr="00B257F0">
              <w:rPr>
                <w:rStyle w:val="eop"/>
                <w:b/>
                <w:noProof/>
                <w:color w:val="auto"/>
                <w:sz w:val="24"/>
                <w:lang w:eastAsia="en-AU"/>
              </w:rPr>
              <mc:AlternateContent>
                <mc:Choice Requires="wps">
                  <w:drawing>
                    <wp:anchor distT="45720" distB="45720" distL="114300" distR="114300" simplePos="0" relativeHeight="251662336" behindDoc="0" locked="0" layoutInCell="1" allowOverlap="1" wp14:anchorId="30ECDA54" wp14:editId="0980898F">
                      <wp:simplePos x="0" y="0"/>
                      <wp:positionH relativeFrom="column">
                        <wp:posOffset>-132080</wp:posOffset>
                      </wp:positionH>
                      <wp:positionV relativeFrom="paragraph">
                        <wp:posOffset>77470</wp:posOffset>
                      </wp:positionV>
                      <wp:extent cx="1303020" cy="140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404620"/>
                              </a:xfrm>
                              <a:prstGeom prst="rect">
                                <a:avLst/>
                              </a:prstGeom>
                              <a:solidFill>
                                <a:schemeClr val="accent2">
                                  <a:lumMod val="75000"/>
                                  <a:lumOff val="25000"/>
                                </a:schemeClr>
                              </a:solidFill>
                              <a:ln w="9525">
                                <a:noFill/>
                                <a:miter lim="800000"/>
                                <a:headEnd/>
                                <a:tailEnd/>
                              </a:ln>
                            </wps:spPr>
                            <wps:txbx>
                              <w:txbxContent>
                                <w:p w14:paraId="0855D3B4" w14:textId="77777777" w:rsidR="00B16B49" w:rsidRPr="00B257F0" w:rsidRDefault="00B16B49" w:rsidP="00CA72E5">
                                  <w:pPr>
                                    <w:shd w:val="clear" w:color="auto" w:fill="00AC78" w:themeFill="accent2" w:themeFillTint="BF"/>
                                    <w:rPr>
                                      <w:sz w:val="16"/>
                                      <w:szCs w:val="16"/>
                                    </w:rPr>
                                  </w:pPr>
                                  <w:r>
                                    <w:rPr>
                                      <w:sz w:val="16"/>
                                      <w:szCs w:val="16"/>
                                    </w:rPr>
                                    <w:t xml:space="preserve">21 transport policies and programs, delivered by 3 entities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ECDA54" id="_x0000_s1030" type="#_x0000_t202" style="position:absolute;margin-left:-10.4pt;margin-top:6.1pt;width:102.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" fillcolor="#00ac78 [2421]" stroked="f">
                      <v:textbox style="mso-fit-shape-to-text:t">
                        <w:txbxContent>
                          <w:p w14:paraId="0855D3B4" w14:textId="77777777" w:rsidR="00B16B49" w:rsidRPr="00B257F0" w:rsidRDefault="00B16B49" w:rsidP="00CA72E5">
                            <w:pPr>
                              <w:shd w:val="clear" w:color="auto" w:fill="00AC78" w:themeFill="accent2" w:themeFillTint="BF"/>
                              <w:rPr>
                                <w:sz w:val="16"/>
                                <w:szCs w:val="16"/>
                              </w:rPr>
                            </w:pPr>
                            <w:r>
                              <w:rPr>
                                <w:sz w:val="16"/>
                                <w:szCs w:val="16"/>
                              </w:rPr>
                              <w:t xml:space="preserve">21 transport policies and programs, delivered by 3 entities </w:t>
                            </w:r>
                          </w:p>
                        </w:txbxContent>
                      </v:textbox>
                    </v:shape>
                  </w:pict>
                </mc:Fallback>
              </mc:AlternateContent>
            </w:r>
          </w:p>
        </w:tc>
        <w:tc>
          <w:tcPr>
            <w:tcW w:w="500" w:type="pct"/>
            <w:shd w:val="clear" w:color="auto" w:fill="00AC78" w:themeFill="accent2" w:themeFillTint="BF"/>
          </w:tcPr>
          <w:p w14:paraId="7BEA0469" w14:textId="77777777" w:rsidR="00CA72E5" w:rsidRDefault="00CA72E5" w:rsidP="00B16B49">
            <w:pPr>
              <w:rPr>
                <w:rStyle w:val="eop"/>
                <w:b/>
                <w:color w:val="auto"/>
                <w:sz w:val="24"/>
              </w:rPr>
            </w:pPr>
          </w:p>
        </w:tc>
        <w:tc>
          <w:tcPr>
            <w:tcW w:w="501" w:type="pct"/>
            <w:shd w:val="clear" w:color="auto" w:fill="00AC78" w:themeFill="accent2" w:themeFillTint="BF"/>
          </w:tcPr>
          <w:p w14:paraId="5BB838BD" w14:textId="77777777" w:rsidR="00CA72E5" w:rsidRDefault="00CA72E5" w:rsidP="00B16B49">
            <w:pPr>
              <w:rPr>
                <w:rStyle w:val="eop"/>
                <w:b/>
                <w:color w:val="auto"/>
                <w:sz w:val="24"/>
              </w:rPr>
            </w:pPr>
          </w:p>
        </w:tc>
      </w:tr>
      <w:tr w:rsidR="00CA72E5" w14:paraId="0D7C3B00" w14:textId="77777777" w:rsidTr="00B16B49">
        <w:tc>
          <w:tcPr>
            <w:tcW w:w="498" w:type="pct"/>
            <w:shd w:val="clear" w:color="auto" w:fill="69EECB" w:themeFill="accent1" w:themeFillTint="99"/>
          </w:tcPr>
          <w:p w14:paraId="635C6B60" w14:textId="77777777" w:rsidR="00CA72E5" w:rsidRDefault="00CA72E5" w:rsidP="00B16B49">
            <w:pPr>
              <w:rPr>
                <w:rStyle w:val="eop"/>
                <w:b/>
                <w:color w:val="auto"/>
                <w:sz w:val="24"/>
              </w:rPr>
            </w:pPr>
          </w:p>
        </w:tc>
        <w:tc>
          <w:tcPr>
            <w:tcW w:w="500" w:type="pct"/>
            <w:shd w:val="clear" w:color="auto" w:fill="F22735" w:themeFill="accent5" w:themeFillTint="99"/>
          </w:tcPr>
          <w:p w14:paraId="6B9035F0" w14:textId="77777777" w:rsidR="00CA72E5" w:rsidRDefault="00CA72E5" w:rsidP="00B16B49">
            <w:pPr>
              <w:rPr>
                <w:rStyle w:val="eop"/>
                <w:b/>
                <w:color w:val="auto"/>
                <w:sz w:val="24"/>
              </w:rPr>
            </w:pPr>
          </w:p>
        </w:tc>
        <w:tc>
          <w:tcPr>
            <w:tcW w:w="500" w:type="pct"/>
            <w:shd w:val="clear" w:color="auto" w:fill="F22735" w:themeFill="accent5" w:themeFillTint="99"/>
          </w:tcPr>
          <w:p w14:paraId="16721FE4" w14:textId="77777777" w:rsidR="00CA72E5" w:rsidRDefault="00CA72E5" w:rsidP="00B16B49">
            <w:pPr>
              <w:rPr>
                <w:rStyle w:val="eop"/>
                <w:b/>
                <w:color w:val="auto"/>
                <w:sz w:val="24"/>
              </w:rPr>
            </w:pPr>
          </w:p>
        </w:tc>
        <w:tc>
          <w:tcPr>
            <w:tcW w:w="500" w:type="pct"/>
            <w:shd w:val="clear" w:color="auto" w:fill="F22735" w:themeFill="accent5" w:themeFillTint="99"/>
          </w:tcPr>
          <w:p w14:paraId="333E304A" w14:textId="77777777" w:rsidR="00CA72E5" w:rsidRDefault="00CA72E5" w:rsidP="00B16B49">
            <w:pPr>
              <w:rPr>
                <w:rStyle w:val="eop"/>
                <w:b/>
                <w:color w:val="auto"/>
                <w:sz w:val="24"/>
              </w:rPr>
            </w:pPr>
            <w:r w:rsidRPr="00B257F0">
              <w:rPr>
                <w:rStyle w:val="eop"/>
                <w:b/>
                <w:noProof/>
                <w:color w:val="auto"/>
                <w:sz w:val="24"/>
                <w:lang w:eastAsia="en-AU"/>
              </w:rPr>
              <mc:AlternateContent>
                <mc:Choice Requires="wps">
                  <w:drawing>
                    <wp:anchor distT="45720" distB="45720" distL="114300" distR="114300" simplePos="0" relativeHeight="251665408" behindDoc="0" locked="0" layoutInCell="1" allowOverlap="1" wp14:anchorId="2329D98A" wp14:editId="178B4B84">
                      <wp:simplePos x="0" y="0"/>
                      <wp:positionH relativeFrom="column">
                        <wp:posOffset>-453390</wp:posOffset>
                      </wp:positionH>
                      <wp:positionV relativeFrom="paragraph">
                        <wp:posOffset>92710</wp:posOffset>
                      </wp:positionV>
                      <wp:extent cx="1219200" cy="838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38200"/>
                              </a:xfrm>
                              <a:prstGeom prst="rect">
                                <a:avLst/>
                              </a:prstGeom>
                              <a:solidFill>
                                <a:schemeClr val="accent5">
                                  <a:lumMod val="60000"/>
                                  <a:lumOff val="40000"/>
                                </a:schemeClr>
                              </a:solidFill>
                              <a:ln w="9525">
                                <a:noFill/>
                                <a:miter lim="800000"/>
                                <a:headEnd/>
                                <a:tailEnd/>
                              </a:ln>
                            </wps:spPr>
                            <wps:txbx>
                              <w:txbxContent>
                                <w:p w14:paraId="5FA75211" w14:textId="77777777" w:rsidR="00B16B49" w:rsidRPr="00B257F0" w:rsidRDefault="00B16B49" w:rsidP="00CA72E5">
                                  <w:pPr>
                                    <w:rPr>
                                      <w:sz w:val="16"/>
                                      <w:szCs w:val="16"/>
                                    </w:rPr>
                                  </w:pPr>
                                  <w:r w:rsidRPr="00B257F0">
                                    <w:rPr>
                                      <w:sz w:val="16"/>
                                      <w:szCs w:val="16"/>
                                    </w:rPr>
                                    <w:t>19 agriculture and land policies and programs, delivered by 4 entities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9D98A" id="_x0000_s1031" type="#_x0000_t202" style="position:absolute;margin-left:-35.7pt;margin-top:7.3pt;width:96pt;height: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" fillcolor="#f22735 [1944]" stroked="f">
                      <v:textbox>
                        <w:txbxContent>
                          <w:p w14:paraId="5FA75211" w14:textId="77777777" w:rsidR="00B16B49" w:rsidRPr="00B257F0" w:rsidRDefault="00B16B49" w:rsidP="00CA72E5">
                            <w:pPr>
                              <w:rPr>
                                <w:sz w:val="16"/>
                                <w:szCs w:val="16"/>
                              </w:rPr>
                            </w:pPr>
                            <w:r w:rsidRPr="00B257F0">
                              <w:rPr>
                                <w:sz w:val="16"/>
                                <w:szCs w:val="16"/>
                              </w:rPr>
                              <w:t>19 agriculture and land policies and programs, delivered by 4 entities</w:t>
                            </w:r>
                          </w:p>
                        </w:txbxContent>
                      </v:textbox>
                    </v:shape>
                  </w:pict>
                </mc:Fallback>
              </mc:AlternateContent>
            </w:r>
          </w:p>
        </w:tc>
        <w:tc>
          <w:tcPr>
            <w:tcW w:w="500" w:type="pct"/>
            <w:shd w:val="clear" w:color="auto" w:fill="F22735" w:themeFill="accent5" w:themeFillTint="99"/>
          </w:tcPr>
          <w:p w14:paraId="73CF6524" w14:textId="77777777" w:rsidR="00CA72E5" w:rsidRDefault="00CA72E5" w:rsidP="00B16B49">
            <w:pPr>
              <w:rPr>
                <w:rStyle w:val="eop"/>
                <w:b/>
                <w:color w:val="auto"/>
                <w:sz w:val="24"/>
              </w:rPr>
            </w:pPr>
          </w:p>
        </w:tc>
        <w:tc>
          <w:tcPr>
            <w:tcW w:w="500" w:type="pct"/>
            <w:vMerge w:val="restart"/>
            <w:shd w:val="clear" w:color="auto" w:fill="DAFCFF" w:themeFill="accent6" w:themeFillTint="33"/>
          </w:tcPr>
          <w:p w14:paraId="7668033F" w14:textId="77777777" w:rsidR="00CA72E5" w:rsidRDefault="00CA72E5" w:rsidP="00B16B49">
            <w:pPr>
              <w:rPr>
                <w:rStyle w:val="eop"/>
                <w:b/>
                <w:color w:val="auto"/>
                <w:sz w:val="24"/>
              </w:rPr>
            </w:pPr>
            <w:r w:rsidRPr="00954DF4">
              <w:rPr>
                <w:rStyle w:val="eop"/>
                <w:color w:val="auto"/>
                <w:sz w:val="14"/>
                <w:szCs w:val="14"/>
              </w:rPr>
              <w:t>other</w:t>
            </w:r>
          </w:p>
        </w:tc>
        <w:tc>
          <w:tcPr>
            <w:tcW w:w="500" w:type="pct"/>
            <w:shd w:val="clear" w:color="auto" w:fill="00AC78" w:themeFill="accent2" w:themeFillTint="BF"/>
          </w:tcPr>
          <w:p w14:paraId="0F517AC1" w14:textId="77777777" w:rsidR="00CA72E5" w:rsidRDefault="00CA72E5" w:rsidP="00B16B49">
            <w:pPr>
              <w:rPr>
                <w:rStyle w:val="eop"/>
                <w:b/>
                <w:color w:val="auto"/>
                <w:sz w:val="24"/>
              </w:rPr>
            </w:pPr>
          </w:p>
        </w:tc>
        <w:tc>
          <w:tcPr>
            <w:tcW w:w="500" w:type="pct"/>
            <w:shd w:val="clear" w:color="auto" w:fill="00AC78" w:themeFill="accent2" w:themeFillTint="BF"/>
          </w:tcPr>
          <w:p w14:paraId="43DF031F" w14:textId="77777777" w:rsidR="00CA72E5" w:rsidRDefault="00CA72E5" w:rsidP="00B16B49">
            <w:pPr>
              <w:rPr>
                <w:rStyle w:val="eop"/>
                <w:b/>
                <w:color w:val="auto"/>
                <w:sz w:val="24"/>
              </w:rPr>
            </w:pPr>
          </w:p>
        </w:tc>
        <w:tc>
          <w:tcPr>
            <w:tcW w:w="500" w:type="pct"/>
            <w:shd w:val="clear" w:color="auto" w:fill="00AC78" w:themeFill="accent2" w:themeFillTint="BF"/>
          </w:tcPr>
          <w:p w14:paraId="5D87A143" w14:textId="77777777" w:rsidR="00CA72E5" w:rsidRDefault="00CA72E5" w:rsidP="00B16B49">
            <w:pPr>
              <w:rPr>
                <w:rStyle w:val="eop"/>
                <w:b/>
                <w:color w:val="auto"/>
                <w:sz w:val="24"/>
              </w:rPr>
            </w:pPr>
          </w:p>
        </w:tc>
        <w:tc>
          <w:tcPr>
            <w:tcW w:w="501" w:type="pct"/>
            <w:shd w:val="clear" w:color="auto" w:fill="00AC78" w:themeFill="accent2" w:themeFillTint="BF"/>
          </w:tcPr>
          <w:p w14:paraId="374281D9" w14:textId="77777777" w:rsidR="00CA72E5" w:rsidRDefault="00CA72E5" w:rsidP="00B16B49">
            <w:pPr>
              <w:rPr>
                <w:rStyle w:val="eop"/>
                <w:b/>
                <w:color w:val="auto"/>
                <w:sz w:val="24"/>
              </w:rPr>
            </w:pPr>
          </w:p>
        </w:tc>
      </w:tr>
      <w:tr w:rsidR="00CA72E5" w14:paraId="28F33B3A" w14:textId="77777777" w:rsidTr="00B16B49">
        <w:tc>
          <w:tcPr>
            <w:tcW w:w="498" w:type="pct"/>
            <w:shd w:val="clear" w:color="auto" w:fill="5F9EFF" w:themeFill="text2" w:themeFillTint="66"/>
          </w:tcPr>
          <w:p w14:paraId="71F02851" w14:textId="77777777" w:rsidR="00CA72E5" w:rsidRDefault="00CA72E5" w:rsidP="00B16B49">
            <w:pPr>
              <w:rPr>
                <w:rStyle w:val="eop"/>
                <w:b/>
                <w:color w:val="auto"/>
                <w:sz w:val="24"/>
              </w:rPr>
            </w:pPr>
          </w:p>
        </w:tc>
        <w:tc>
          <w:tcPr>
            <w:tcW w:w="500" w:type="pct"/>
            <w:shd w:val="clear" w:color="auto" w:fill="F22735" w:themeFill="accent5" w:themeFillTint="99"/>
          </w:tcPr>
          <w:p w14:paraId="2547A9E8" w14:textId="77777777" w:rsidR="00CA72E5" w:rsidRDefault="00CA72E5" w:rsidP="00B16B49">
            <w:pPr>
              <w:rPr>
                <w:rStyle w:val="eop"/>
                <w:b/>
                <w:color w:val="auto"/>
                <w:sz w:val="24"/>
              </w:rPr>
            </w:pPr>
          </w:p>
        </w:tc>
        <w:tc>
          <w:tcPr>
            <w:tcW w:w="500" w:type="pct"/>
            <w:shd w:val="clear" w:color="auto" w:fill="F22735" w:themeFill="accent5" w:themeFillTint="99"/>
          </w:tcPr>
          <w:p w14:paraId="494DF422" w14:textId="77777777" w:rsidR="00CA72E5" w:rsidRDefault="00CA72E5" w:rsidP="00B16B49">
            <w:pPr>
              <w:rPr>
                <w:rStyle w:val="eop"/>
                <w:b/>
                <w:color w:val="auto"/>
                <w:sz w:val="24"/>
              </w:rPr>
            </w:pPr>
          </w:p>
        </w:tc>
        <w:tc>
          <w:tcPr>
            <w:tcW w:w="500" w:type="pct"/>
            <w:shd w:val="clear" w:color="auto" w:fill="F22735" w:themeFill="accent5" w:themeFillTint="99"/>
          </w:tcPr>
          <w:p w14:paraId="4E9BA7CC" w14:textId="77777777" w:rsidR="00CA72E5" w:rsidRDefault="00CA72E5" w:rsidP="00B16B49">
            <w:pPr>
              <w:rPr>
                <w:rStyle w:val="eop"/>
                <w:b/>
                <w:color w:val="auto"/>
                <w:sz w:val="24"/>
              </w:rPr>
            </w:pPr>
          </w:p>
        </w:tc>
        <w:tc>
          <w:tcPr>
            <w:tcW w:w="500" w:type="pct"/>
            <w:shd w:val="clear" w:color="auto" w:fill="F22735" w:themeFill="accent5" w:themeFillTint="99"/>
          </w:tcPr>
          <w:p w14:paraId="44812915" w14:textId="77777777" w:rsidR="00CA72E5" w:rsidRDefault="00CA72E5" w:rsidP="00B16B49">
            <w:pPr>
              <w:rPr>
                <w:rStyle w:val="eop"/>
                <w:b/>
                <w:color w:val="auto"/>
                <w:sz w:val="24"/>
              </w:rPr>
            </w:pPr>
          </w:p>
        </w:tc>
        <w:tc>
          <w:tcPr>
            <w:tcW w:w="500" w:type="pct"/>
            <w:vMerge/>
            <w:shd w:val="clear" w:color="auto" w:fill="DAFCFF" w:themeFill="accent6" w:themeFillTint="33"/>
          </w:tcPr>
          <w:p w14:paraId="2A11DAA7" w14:textId="77777777" w:rsidR="00CA72E5" w:rsidRPr="00954DF4" w:rsidRDefault="00CA72E5" w:rsidP="00B16B49">
            <w:pPr>
              <w:rPr>
                <w:rStyle w:val="eop"/>
                <w:color w:val="auto"/>
                <w:sz w:val="14"/>
                <w:szCs w:val="14"/>
              </w:rPr>
            </w:pPr>
          </w:p>
        </w:tc>
        <w:tc>
          <w:tcPr>
            <w:tcW w:w="500" w:type="pct"/>
            <w:shd w:val="clear" w:color="auto" w:fill="00AC78" w:themeFill="accent2" w:themeFillTint="BF"/>
          </w:tcPr>
          <w:p w14:paraId="09FE1236" w14:textId="77777777" w:rsidR="00CA72E5" w:rsidRDefault="00CA72E5" w:rsidP="00B16B49">
            <w:pPr>
              <w:rPr>
                <w:rStyle w:val="eop"/>
                <w:b/>
                <w:color w:val="auto"/>
                <w:sz w:val="24"/>
              </w:rPr>
            </w:pPr>
          </w:p>
        </w:tc>
        <w:tc>
          <w:tcPr>
            <w:tcW w:w="500" w:type="pct"/>
            <w:shd w:val="clear" w:color="auto" w:fill="00AC78" w:themeFill="accent2" w:themeFillTint="BF"/>
          </w:tcPr>
          <w:p w14:paraId="730D576A" w14:textId="77777777" w:rsidR="00CA72E5" w:rsidRDefault="00CA72E5" w:rsidP="00B16B49">
            <w:pPr>
              <w:rPr>
                <w:rStyle w:val="eop"/>
                <w:b/>
                <w:color w:val="auto"/>
                <w:sz w:val="24"/>
              </w:rPr>
            </w:pPr>
          </w:p>
        </w:tc>
        <w:tc>
          <w:tcPr>
            <w:tcW w:w="500" w:type="pct"/>
            <w:shd w:val="clear" w:color="auto" w:fill="00AC78" w:themeFill="accent2" w:themeFillTint="BF"/>
          </w:tcPr>
          <w:p w14:paraId="61DF6761" w14:textId="77777777" w:rsidR="00CA72E5" w:rsidRDefault="00CA72E5" w:rsidP="00B16B49">
            <w:pPr>
              <w:rPr>
                <w:rStyle w:val="eop"/>
                <w:b/>
                <w:color w:val="auto"/>
                <w:sz w:val="24"/>
              </w:rPr>
            </w:pPr>
          </w:p>
        </w:tc>
        <w:tc>
          <w:tcPr>
            <w:tcW w:w="501" w:type="pct"/>
            <w:shd w:val="clear" w:color="auto" w:fill="00AC78" w:themeFill="accent2" w:themeFillTint="BF"/>
          </w:tcPr>
          <w:p w14:paraId="528DE767" w14:textId="77777777" w:rsidR="00CA72E5" w:rsidRDefault="00CA72E5" w:rsidP="00B16B49">
            <w:pPr>
              <w:rPr>
                <w:rStyle w:val="eop"/>
                <w:b/>
                <w:color w:val="auto"/>
                <w:sz w:val="24"/>
              </w:rPr>
            </w:pPr>
          </w:p>
        </w:tc>
      </w:tr>
      <w:tr w:rsidR="00CA72E5" w14:paraId="0F417B39" w14:textId="77777777" w:rsidTr="00B16B49">
        <w:tc>
          <w:tcPr>
            <w:tcW w:w="498" w:type="pct"/>
            <w:shd w:val="clear" w:color="auto" w:fill="5F9EFF" w:themeFill="text2" w:themeFillTint="66"/>
          </w:tcPr>
          <w:p w14:paraId="1633EDA0" w14:textId="77777777" w:rsidR="00CA72E5" w:rsidRDefault="00CA72E5" w:rsidP="00B16B49">
            <w:pPr>
              <w:rPr>
                <w:rStyle w:val="eop"/>
                <w:b/>
                <w:color w:val="auto"/>
                <w:sz w:val="24"/>
              </w:rPr>
            </w:pPr>
          </w:p>
        </w:tc>
        <w:tc>
          <w:tcPr>
            <w:tcW w:w="500" w:type="pct"/>
            <w:shd w:val="clear" w:color="auto" w:fill="5F9EFF" w:themeFill="text2" w:themeFillTint="66"/>
          </w:tcPr>
          <w:p w14:paraId="612FC686" w14:textId="77777777" w:rsidR="00CA72E5" w:rsidRDefault="00CA72E5" w:rsidP="00B16B49">
            <w:pPr>
              <w:rPr>
                <w:rStyle w:val="eop"/>
                <w:b/>
                <w:color w:val="auto"/>
                <w:sz w:val="24"/>
              </w:rPr>
            </w:pPr>
          </w:p>
        </w:tc>
        <w:tc>
          <w:tcPr>
            <w:tcW w:w="500" w:type="pct"/>
            <w:shd w:val="clear" w:color="auto" w:fill="F22735" w:themeFill="accent5" w:themeFillTint="99"/>
          </w:tcPr>
          <w:p w14:paraId="00DFF3C0" w14:textId="77777777" w:rsidR="00CA72E5" w:rsidRDefault="00CA72E5" w:rsidP="00B16B49">
            <w:pPr>
              <w:rPr>
                <w:rStyle w:val="eop"/>
                <w:b/>
                <w:color w:val="auto"/>
                <w:sz w:val="24"/>
              </w:rPr>
            </w:pPr>
          </w:p>
        </w:tc>
        <w:tc>
          <w:tcPr>
            <w:tcW w:w="500" w:type="pct"/>
            <w:shd w:val="clear" w:color="auto" w:fill="F22735" w:themeFill="accent5" w:themeFillTint="99"/>
          </w:tcPr>
          <w:p w14:paraId="2A96C3E6" w14:textId="77777777" w:rsidR="00CA72E5" w:rsidRDefault="00CA72E5" w:rsidP="00B16B49">
            <w:pPr>
              <w:rPr>
                <w:rStyle w:val="eop"/>
                <w:b/>
                <w:color w:val="auto"/>
                <w:sz w:val="24"/>
              </w:rPr>
            </w:pPr>
          </w:p>
        </w:tc>
        <w:tc>
          <w:tcPr>
            <w:tcW w:w="500" w:type="pct"/>
            <w:shd w:val="clear" w:color="auto" w:fill="F22735" w:themeFill="accent5" w:themeFillTint="99"/>
          </w:tcPr>
          <w:p w14:paraId="74E61C67" w14:textId="77777777" w:rsidR="00CA72E5" w:rsidRDefault="00CA72E5" w:rsidP="00B16B49">
            <w:pPr>
              <w:rPr>
                <w:rStyle w:val="eop"/>
                <w:b/>
                <w:color w:val="auto"/>
                <w:sz w:val="24"/>
              </w:rPr>
            </w:pPr>
          </w:p>
        </w:tc>
        <w:tc>
          <w:tcPr>
            <w:tcW w:w="500" w:type="pct"/>
            <w:shd w:val="clear" w:color="auto" w:fill="00AC78" w:themeFill="accent2" w:themeFillTint="BF"/>
          </w:tcPr>
          <w:p w14:paraId="3ADC9C8F" w14:textId="77777777" w:rsidR="00CA72E5" w:rsidRDefault="00CA72E5" w:rsidP="00B16B49">
            <w:pPr>
              <w:rPr>
                <w:rStyle w:val="eop"/>
                <w:b/>
                <w:color w:val="auto"/>
                <w:sz w:val="24"/>
              </w:rPr>
            </w:pPr>
          </w:p>
        </w:tc>
        <w:tc>
          <w:tcPr>
            <w:tcW w:w="500" w:type="pct"/>
            <w:shd w:val="clear" w:color="auto" w:fill="00AC78" w:themeFill="accent2" w:themeFillTint="BF"/>
          </w:tcPr>
          <w:p w14:paraId="3C6EE2DB" w14:textId="77777777" w:rsidR="00CA72E5" w:rsidRDefault="00CA72E5" w:rsidP="00B16B49">
            <w:pPr>
              <w:rPr>
                <w:rStyle w:val="eop"/>
                <w:b/>
                <w:color w:val="auto"/>
                <w:sz w:val="24"/>
              </w:rPr>
            </w:pPr>
          </w:p>
        </w:tc>
        <w:tc>
          <w:tcPr>
            <w:tcW w:w="500" w:type="pct"/>
            <w:shd w:val="clear" w:color="auto" w:fill="00AC78" w:themeFill="accent2" w:themeFillTint="BF"/>
          </w:tcPr>
          <w:p w14:paraId="0501BB49" w14:textId="77777777" w:rsidR="00CA72E5" w:rsidRDefault="00CA72E5" w:rsidP="00B16B49">
            <w:pPr>
              <w:rPr>
                <w:rStyle w:val="eop"/>
                <w:b/>
                <w:color w:val="auto"/>
                <w:sz w:val="24"/>
              </w:rPr>
            </w:pPr>
          </w:p>
        </w:tc>
        <w:tc>
          <w:tcPr>
            <w:tcW w:w="500" w:type="pct"/>
            <w:shd w:val="clear" w:color="auto" w:fill="00AC78" w:themeFill="accent2" w:themeFillTint="BF"/>
          </w:tcPr>
          <w:p w14:paraId="2E7A9D30" w14:textId="77777777" w:rsidR="00CA72E5" w:rsidRDefault="00CA72E5" w:rsidP="00B16B49">
            <w:pPr>
              <w:rPr>
                <w:rStyle w:val="eop"/>
                <w:b/>
                <w:color w:val="auto"/>
                <w:sz w:val="24"/>
              </w:rPr>
            </w:pPr>
          </w:p>
        </w:tc>
        <w:tc>
          <w:tcPr>
            <w:tcW w:w="501" w:type="pct"/>
            <w:shd w:val="clear" w:color="auto" w:fill="00AC78" w:themeFill="accent2" w:themeFillTint="BF"/>
          </w:tcPr>
          <w:p w14:paraId="30ED00B9" w14:textId="77777777" w:rsidR="00CA72E5" w:rsidRDefault="00CA72E5" w:rsidP="00B16B49">
            <w:pPr>
              <w:rPr>
                <w:rStyle w:val="eop"/>
                <w:b/>
                <w:color w:val="auto"/>
                <w:sz w:val="24"/>
              </w:rPr>
            </w:pPr>
          </w:p>
        </w:tc>
      </w:tr>
      <w:tr w:rsidR="00CA72E5" w14:paraId="54744069" w14:textId="77777777" w:rsidTr="00B16B49">
        <w:tc>
          <w:tcPr>
            <w:tcW w:w="498" w:type="pct"/>
            <w:shd w:val="clear" w:color="auto" w:fill="5F9EFF" w:themeFill="text2" w:themeFillTint="66"/>
          </w:tcPr>
          <w:p w14:paraId="5E20EE28" w14:textId="77777777" w:rsidR="00CA72E5" w:rsidRDefault="00CA72E5" w:rsidP="00B16B49">
            <w:pPr>
              <w:rPr>
                <w:rStyle w:val="eop"/>
                <w:b/>
                <w:color w:val="auto"/>
                <w:sz w:val="24"/>
              </w:rPr>
            </w:pPr>
          </w:p>
        </w:tc>
        <w:tc>
          <w:tcPr>
            <w:tcW w:w="500" w:type="pct"/>
            <w:shd w:val="clear" w:color="auto" w:fill="5F9EFF" w:themeFill="text2" w:themeFillTint="66"/>
          </w:tcPr>
          <w:p w14:paraId="305D5411" w14:textId="77777777" w:rsidR="00CA72E5" w:rsidRDefault="00CA72E5" w:rsidP="00B16B49">
            <w:pPr>
              <w:rPr>
                <w:rStyle w:val="eop"/>
                <w:b/>
                <w:color w:val="auto"/>
                <w:sz w:val="24"/>
              </w:rPr>
            </w:pPr>
          </w:p>
        </w:tc>
        <w:tc>
          <w:tcPr>
            <w:tcW w:w="500" w:type="pct"/>
            <w:shd w:val="clear" w:color="auto" w:fill="5F9EFF" w:themeFill="text2" w:themeFillTint="66"/>
          </w:tcPr>
          <w:p w14:paraId="076EDA5C" w14:textId="77777777" w:rsidR="00CA72E5" w:rsidRDefault="00CA72E5" w:rsidP="00B16B49">
            <w:pPr>
              <w:rPr>
                <w:rStyle w:val="eop"/>
                <w:b/>
                <w:color w:val="auto"/>
                <w:sz w:val="24"/>
              </w:rPr>
            </w:pPr>
          </w:p>
        </w:tc>
        <w:tc>
          <w:tcPr>
            <w:tcW w:w="500" w:type="pct"/>
            <w:shd w:val="clear" w:color="auto" w:fill="5F9EFF" w:themeFill="text2" w:themeFillTint="66"/>
          </w:tcPr>
          <w:p w14:paraId="42BBA827" w14:textId="77777777" w:rsidR="00CA72E5" w:rsidRDefault="00CA72E5" w:rsidP="00B16B49">
            <w:pPr>
              <w:rPr>
                <w:rStyle w:val="eop"/>
                <w:b/>
                <w:color w:val="auto"/>
                <w:sz w:val="24"/>
              </w:rPr>
            </w:pPr>
          </w:p>
        </w:tc>
        <w:tc>
          <w:tcPr>
            <w:tcW w:w="500" w:type="pct"/>
            <w:shd w:val="clear" w:color="auto" w:fill="5F9EFF" w:themeFill="text2" w:themeFillTint="66"/>
          </w:tcPr>
          <w:p w14:paraId="342ECADE" w14:textId="77777777" w:rsidR="00CA72E5" w:rsidRDefault="00CA72E5" w:rsidP="00B16B49">
            <w:pPr>
              <w:rPr>
                <w:rStyle w:val="eop"/>
                <w:b/>
                <w:color w:val="auto"/>
                <w:sz w:val="24"/>
              </w:rPr>
            </w:pPr>
          </w:p>
        </w:tc>
        <w:tc>
          <w:tcPr>
            <w:tcW w:w="500" w:type="pct"/>
            <w:shd w:val="clear" w:color="auto" w:fill="5F9EFF" w:themeFill="text2" w:themeFillTint="66"/>
          </w:tcPr>
          <w:p w14:paraId="0229734E" w14:textId="77777777" w:rsidR="00CA72E5" w:rsidRDefault="00CA72E5" w:rsidP="00B16B49">
            <w:pPr>
              <w:rPr>
                <w:rStyle w:val="eop"/>
                <w:b/>
                <w:color w:val="auto"/>
                <w:sz w:val="24"/>
              </w:rPr>
            </w:pPr>
          </w:p>
        </w:tc>
        <w:tc>
          <w:tcPr>
            <w:tcW w:w="500" w:type="pct"/>
            <w:shd w:val="clear" w:color="auto" w:fill="5F9EFF" w:themeFill="text2" w:themeFillTint="66"/>
          </w:tcPr>
          <w:p w14:paraId="0B3923D9" w14:textId="77777777" w:rsidR="00CA72E5" w:rsidRDefault="00CA72E5" w:rsidP="00B16B49">
            <w:pPr>
              <w:rPr>
                <w:rStyle w:val="eop"/>
                <w:b/>
                <w:color w:val="auto"/>
                <w:sz w:val="24"/>
              </w:rPr>
            </w:pPr>
          </w:p>
        </w:tc>
        <w:tc>
          <w:tcPr>
            <w:tcW w:w="500" w:type="pct"/>
            <w:shd w:val="clear" w:color="auto" w:fill="5F9EFF" w:themeFill="text2" w:themeFillTint="66"/>
          </w:tcPr>
          <w:p w14:paraId="2A20EB44" w14:textId="77777777" w:rsidR="00CA72E5" w:rsidRDefault="00CA72E5" w:rsidP="00B16B49">
            <w:pPr>
              <w:rPr>
                <w:rStyle w:val="eop"/>
                <w:b/>
                <w:color w:val="auto"/>
                <w:sz w:val="24"/>
              </w:rPr>
            </w:pPr>
          </w:p>
        </w:tc>
        <w:tc>
          <w:tcPr>
            <w:tcW w:w="500" w:type="pct"/>
            <w:shd w:val="clear" w:color="auto" w:fill="5F9EFF" w:themeFill="text2" w:themeFillTint="66"/>
          </w:tcPr>
          <w:p w14:paraId="4BEE5959" w14:textId="77777777" w:rsidR="00CA72E5" w:rsidRDefault="00CA72E5" w:rsidP="00B16B49">
            <w:pPr>
              <w:rPr>
                <w:rStyle w:val="eop"/>
                <w:b/>
                <w:color w:val="auto"/>
                <w:sz w:val="24"/>
              </w:rPr>
            </w:pPr>
          </w:p>
        </w:tc>
        <w:tc>
          <w:tcPr>
            <w:tcW w:w="501" w:type="pct"/>
            <w:shd w:val="clear" w:color="auto" w:fill="5F9EFF" w:themeFill="text2" w:themeFillTint="66"/>
          </w:tcPr>
          <w:p w14:paraId="11E68B22" w14:textId="77777777" w:rsidR="00CA72E5" w:rsidRDefault="00CA72E5" w:rsidP="00B16B49">
            <w:pPr>
              <w:rPr>
                <w:rStyle w:val="eop"/>
                <w:b/>
                <w:color w:val="auto"/>
                <w:sz w:val="24"/>
              </w:rPr>
            </w:pPr>
          </w:p>
        </w:tc>
      </w:tr>
      <w:tr w:rsidR="00CA72E5" w14:paraId="244438E5" w14:textId="77777777" w:rsidTr="00B16B49">
        <w:tc>
          <w:tcPr>
            <w:tcW w:w="498" w:type="pct"/>
            <w:shd w:val="clear" w:color="auto" w:fill="5F9EFF" w:themeFill="text2" w:themeFillTint="66"/>
          </w:tcPr>
          <w:p w14:paraId="0AD7EAAB" w14:textId="77777777" w:rsidR="00CA72E5" w:rsidRDefault="00CA72E5" w:rsidP="00B16B49">
            <w:pPr>
              <w:rPr>
                <w:rStyle w:val="eop"/>
                <w:b/>
                <w:color w:val="auto"/>
                <w:sz w:val="24"/>
              </w:rPr>
            </w:pPr>
          </w:p>
        </w:tc>
        <w:tc>
          <w:tcPr>
            <w:tcW w:w="500" w:type="pct"/>
            <w:shd w:val="clear" w:color="auto" w:fill="5F9EFF" w:themeFill="text2" w:themeFillTint="66"/>
          </w:tcPr>
          <w:p w14:paraId="18525287" w14:textId="77777777" w:rsidR="00CA72E5" w:rsidRDefault="00CA72E5" w:rsidP="00B16B49">
            <w:pPr>
              <w:rPr>
                <w:rStyle w:val="eop"/>
                <w:b/>
                <w:color w:val="auto"/>
                <w:sz w:val="24"/>
              </w:rPr>
            </w:pPr>
          </w:p>
        </w:tc>
        <w:tc>
          <w:tcPr>
            <w:tcW w:w="500" w:type="pct"/>
            <w:shd w:val="clear" w:color="auto" w:fill="5F9EFF" w:themeFill="text2" w:themeFillTint="66"/>
          </w:tcPr>
          <w:p w14:paraId="2934C58F" w14:textId="77777777" w:rsidR="00CA72E5" w:rsidRDefault="00CA72E5" w:rsidP="00B16B49">
            <w:pPr>
              <w:rPr>
                <w:rStyle w:val="eop"/>
                <w:b/>
                <w:color w:val="auto"/>
                <w:sz w:val="24"/>
              </w:rPr>
            </w:pPr>
            <w:r w:rsidRPr="0097622D">
              <w:rPr>
                <w:rStyle w:val="eop"/>
                <w:b/>
                <w:noProof/>
                <w:color w:val="auto"/>
                <w:sz w:val="24"/>
                <w:lang w:eastAsia="en-AU"/>
              </w:rPr>
              <mc:AlternateContent>
                <mc:Choice Requires="wps">
                  <w:drawing>
                    <wp:anchor distT="45720" distB="45720" distL="114300" distR="114300" simplePos="0" relativeHeight="251661312" behindDoc="0" locked="0" layoutInCell="1" allowOverlap="1" wp14:anchorId="55DCCC43" wp14:editId="129500DB">
                      <wp:simplePos x="0" y="0"/>
                      <wp:positionH relativeFrom="column">
                        <wp:posOffset>-259080</wp:posOffset>
                      </wp:positionH>
                      <wp:positionV relativeFrom="paragraph">
                        <wp:posOffset>96520</wp:posOffset>
                      </wp:positionV>
                      <wp:extent cx="1479550" cy="140462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404620"/>
                              </a:xfrm>
                              <a:prstGeom prst="rect">
                                <a:avLst/>
                              </a:prstGeom>
                              <a:solidFill>
                                <a:schemeClr val="tx2">
                                  <a:lumMod val="40000"/>
                                  <a:lumOff val="60000"/>
                                </a:schemeClr>
                              </a:solidFill>
                              <a:ln w="9525">
                                <a:noFill/>
                                <a:miter lim="800000"/>
                                <a:headEnd/>
                                <a:tailEnd/>
                              </a:ln>
                            </wps:spPr>
                            <wps:txbx>
                              <w:txbxContent>
                                <w:p w14:paraId="3104406D" w14:textId="77777777" w:rsidR="00B16B49" w:rsidRPr="0097622D" w:rsidRDefault="00B16B49" w:rsidP="00CA72E5">
                                  <w:pPr>
                                    <w:rPr>
                                      <w:sz w:val="16"/>
                                      <w:szCs w:val="16"/>
                                    </w:rPr>
                                  </w:pPr>
                                  <w:r w:rsidRPr="0097622D">
                                    <w:rPr>
                                      <w:sz w:val="16"/>
                                      <w:szCs w:val="16"/>
                                    </w:rPr>
                                    <w:t>53 cross cutting policies and programs, delivered by 11 entities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DCCC43" id="_x0000_s1032" type="#_x0000_t202" style="position:absolute;margin-left:-20.4pt;margin-top:7.6pt;width:1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" fillcolor="#5f9eff [1311]" stroked="f">
                      <v:textbox style="mso-fit-shape-to-text:t">
                        <w:txbxContent>
                          <w:p w14:paraId="3104406D" w14:textId="77777777" w:rsidR="00B16B49" w:rsidRPr="0097622D" w:rsidRDefault="00B16B49" w:rsidP="00CA72E5">
                            <w:pPr>
                              <w:rPr>
                                <w:sz w:val="16"/>
                                <w:szCs w:val="16"/>
                              </w:rPr>
                            </w:pPr>
                            <w:r w:rsidRPr="0097622D">
                              <w:rPr>
                                <w:sz w:val="16"/>
                                <w:szCs w:val="16"/>
                              </w:rPr>
                              <w:t>53 cross cutting policies and programs, delivered by 11 entities</w:t>
                            </w:r>
                          </w:p>
                        </w:txbxContent>
                      </v:textbox>
                    </v:shape>
                  </w:pict>
                </mc:Fallback>
              </mc:AlternateContent>
            </w:r>
          </w:p>
        </w:tc>
        <w:tc>
          <w:tcPr>
            <w:tcW w:w="500" w:type="pct"/>
            <w:shd w:val="clear" w:color="auto" w:fill="5F9EFF" w:themeFill="text2" w:themeFillTint="66"/>
          </w:tcPr>
          <w:p w14:paraId="688BC17C" w14:textId="77777777" w:rsidR="00CA72E5" w:rsidRDefault="00CA72E5" w:rsidP="00B16B49">
            <w:pPr>
              <w:rPr>
                <w:rStyle w:val="eop"/>
                <w:b/>
                <w:color w:val="auto"/>
                <w:sz w:val="24"/>
              </w:rPr>
            </w:pPr>
          </w:p>
        </w:tc>
        <w:tc>
          <w:tcPr>
            <w:tcW w:w="500" w:type="pct"/>
            <w:shd w:val="clear" w:color="auto" w:fill="5F9EFF" w:themeFill="text2" w:themeFillTint="66"/>
          </w:tcPr>
          <w:p w14:paraId="548A9746" w14:textId="77777777" w:rsidR="00CA72E5" w:rsidRDefault="00CA72E5" w:rsidP="00B16B49">
            <w:pPr>
              <w:rPr>
                <w:rStyle w:val="eop"/>
                <w:b/>
                <w:color w:val="auto"/>
                <w:sz w:val="24"/>
              </w:rPr>
            </w:pPr>
          </w:p>
        </w:tc>
        <w:tc>
          <w:tcPr>
            <w:tcW w:w="500" w:type="pct"/>
            <w:shd w:val="clear" w:color="auto" w:fill="5F9EFF" w:themeFill="text2" w:themeFillTint="66"/>
          </w:tcPr>
          <w:p w14:paraId="63DA417A" w14:textId="77777777" w:rsidR="00CA72E5" w:rsidRDefault="00CA72E5" w:rsidP="00B16B49">
            <w:pPr>
              <w:rPr>
                <w:rStyle w:val="eop"/>
                <w:b/>
                <w:color w:val="auto"/>
                <w:sz w:val="24"/>
              </w:rPr>
            </w:pPr>
          </w:p>
        </w:tc>
        <w:tc>
          <w:tcPr>
            <w:tcW w:w="500" w:type="pct"/>
            <w:shd w:val="clear" w:color="auto" w:fill="5F9EFF" w:themeFill="text2" w:themeFillTint="66"/>
          </w:tcPr>
          <w:p w14:paraId="470ED87C" w14:textId="77777777" w:rsidR="00CA72E5" w:rsidRDefault="00CA72E5" w:rsidP="00B16B49">
            <w:pPr>
              <w:rPr>
                <w:rStyle w:val="eop"/>
                <w:b/>
                <w:color w:val="auto"/>
                <w:sz w:val="24"/>
              </w:rPr>
            </w:pPr>
          </w:p>
        </w:tc>
        <w:tc>
          <w:tcPr>
            <w:tcW w:w="500" w:type="pct"/>
            <w:shd w:val="clear" w:color="auto" w:fill="5F9EFF" w:themeFill="text2" w:themeFillTint="66"/>
          </w:tcPr>
          <w:p w14:paraId="1F93EDDB" w14:textId="77777777" w:rsidR="00CA72E5" w:rsidRDefault="00CA72E5" w:rsidP="00B16B49">
            <w:pPr>
              <w:rPr>
                <w:rStyle w:val="eop"/>
                <w:b/>
                <w:color w:val="auto"/>
                <w:sz w:val="24"/>
              </w:rPr>
            </w:pPr>
          </w:p>
        </w:tc>
        <w:tc>
          <w:tcPr>
            <w:tcW w:w="500" w:type="pct"/>
            <w:shd w:val="clear" w:color="auto" w:fill="5F9EFF" w:themeFill="text2" w:themeFillTint="66"/>
          </w:tcPr>
          <w:p w14:paraId="0918B81D" w14:textId="77777777" w:rsidR="00CA72E5" w:rsidRDefault="00CA72E5" w:rsidP="00B16B49">
            <w:pPr>
              <w:rPr>
                <w:rStyle w:val="eop"/>
                <w:b/>
                <w:color w:val="auto"/>
                <w:sz w:val="24"/>
              </w:rPr>
            </w:pPr>
          </w:p>
        </w:tc>
        <w:tc>
          <w:tcPr>
            <w:tcW w:w="501" w:type="pct"/>
            <w:shd w:val="clear" w:color="auto" w:fill="5F9EFF" w:themeFill="text2" w:themeFillTint="66"/>
          </w:tcPr>
          <w:p w14:paraId="145BE3F0" w14:textId="77777777" w:rsidR="00CA72E5" w:rsidRDefault="00CA72E5" w:rsidP="00B16B49">
            <w:pPr>
              <w:rPr>
                <w:rStyle w:val="eop"/>
                <w:b/>
                <w:color w:val="auto"/>
                <w:sz w:val="24"/>
              </w:rPr>
            </w:pPr>
          </w:p>
        </w:tc>
      </w:tr>
      <w:tr w:rsidR="00CA72E5" w14:paraId="1D4F676E" w14:textId="77777777" w:rsidTr="00B16B49">
        <w:tc>
          <w:tcPr>
            <w:tcW w:w="498" w:type="pct"/>
            <w:shd w:val="clear" w:color="auto" w:fill="5F9EFF" w:themeFill="text2" w:themeFillTint="66"/>
          </w:tcPr>
          <w:p w14:paraId="68476056" w14:textId="77777777" w:rsidR="00CA72E5" w:rsidRDefault="00CA72E5" w:rsidP="00B16B49">
            <w:pPr>
              <w:rPr>
                <w:rStyle w:val="eop"/>
                <w:b/>
                <w:color w:val="auto"/>
                <w:sz w:val="24"/>
              </w:rPr>
            </w:pPr>
          </w:p>
        </w:tc>
        <w:tc>
          <w:tcPr>
            <w:tcW w:w="500" w:type="pct"/>
            <w:shd w:val="clear" w:color="auto" w:fill="5F9EFF" w:themeFill="text2" w:themeFillTint="66"/>
          </w:tcPr>
          <w:p w14:paraId="1547B775" w14:textId="77777777" w:rsidR="00CA72E5" w:rsidRDefault="00CA72E5" w:rsidP="00B16B49">
            <w:pPr>
              <w:rPr>
                <w:rStyle w:val="eop"/>
                <w:b/>
                <w:color w:val="auto"/>
                <w:sz w:val="24"/>
              </w:rPr>
            </w:pPr>
          </w:p>
        </w:tc>
        <w:tc>
          <w:tcPr>
            <w:tcW w:w="500" w:type="pct"/>
            <w:shd w:val="clear" w:color="auto" w:fill="5F9EFF" w:themeFill="text2" w:themeFillTint="66"/>
          </w:tcPr>
          <w:p w14:paraId="7B55D2C6" w14:textId="77777777" w:rsidR="00CA72E5" w:rsidRDefault="00CA72E5" w:rsidP="00B16B49">
            <w:pPr>
              <w:rPr>
                <w:rStyle w:val="eop"/>
                <w:b/>
                <w:color w:val="auto"/>
                <w:sz w:val="24"/>
              </w:rPr>
            </w:pPr>
          </w:p>
        </w:tc>
        <w:tc>
          <w:tcPr>
            <w:tcW w:w="500" w:type="pct"/>
            <w:shd w:val="clear" w:color="auto" w:fill="5F9EFF" w:themeFill="text2" w:themeFillTint="66"/>
          </w:tcPr>
          <w:p w14:paraId="2683FCE1" w14:textId="77777777" w:rsidR="00CA72E5" w:rsidRDefault="00CA72E5" w:rsidP="00B16B49">
            <w:pPr>
              <w:rPr>
                <w:rStyle w:val="eop"/>
                <w:b/>
                <w:color w:val="auto"/>
                <w:sz w:val="24"/>
              </w:rPr>
            </w:pPr>
          </w:p>
        </w:tc>
        <w:tc>
          <w:tcPr>
            <w:tcW w:w="500" w:type="pct"/>
            <w:shd w:val="clear" w:color="auto" w:fill="5F9EFF" w:themeFill="text2" w:themeFillTint="66"/>
          </w:tcPr>
          <w:p w14:paraId="3088FC76" w14:textId="77777777" w:rsidR="00CA72E5" w:rsidRDefault="00CA72E5" w:rsidP="00B16B49">
            <w:pPr>
              <w:rPr>
                <w:rStyle w:val="eop"/>
                <w:b/>
                <w:color w:val="auto"/>
                <w:sz w:val="24"/>
              </w:rPr>
            </w:pPr>
          </w:p>
        </w:tc>
        <w:tc>
          <w:tcPr>
            <w:tcW w:w="500" w:type="pct"/>
            <w:shd w:val="clear" w:color="auto" w:fill="5F9EFF" w:themeFill="text2" w:themeFillTint="66"/>
          </w:tcPr>
          <w:p w14:paraId="124A019A" w14:textId="77777777" w:rsidR="00CA72E5" w:rsidRDefault="00CA72E5" w:rsidP="00B16B49">
            <w:pPr>
              <w:rPr>
                <w:rStyle w:val="eop"/>
                <w:b/>
                <w:color w:val="auto"/>
                <w:sz w:val="24"/>
              </w:rPr>
            </w:pPr>
          </w:p>
        </w:tc>
        <w:tc>
          <w:tcPr>
            <w:tcW w:w="500" w:type="pct"/>
            <w:shd w:val="clear" w:color="auto" w:fill="5F9EFF" w:themeFill="text2" w:themeFillTint="66"/>
          </w:tcPr>
          <w:p w14:paraId="3C2C3668" w14:textId="77777777" w:rsidR="00CA72E5" w:rsidRDefault="00CA72E5" w:rsidP="00B16B49">
            <w:pPr>
              <w:rPr>
                <w:rStyle w:val="eop"/>
                <w:b/>
                <w:color w:val="auto"/>
                <w:sz w:val="24"/>
              </w:rPr>
            </w:pPr>
          </w:p>
        </w:tc>
        <w:tc>
          <w:tcPr>
            <w:tcW w:w="500" w:type="pct"/>
            <w:shd w:val="clear" w:color="auto" w:fill="5F9EFF" w:themeFill="text2" w:themeFillTint="66"/>
          </w:tcPr>
          <w:p w14:paraId="072FF5DF" w14:textId="77777777" w:rsidR="00CA72E5" w:rsidRDefault="00CA72E5" w:rsidP="00B16B49">
            <w:pPr>
              <w:rPr>
                <w:rStyle w:val="eop"/>
                <w:b/>
                <w:color w:val="auto"/>
                <w:sz w:val="24"/>
              </w:rPr>
            </w:pPr>
          </w:p>
        </w:tc>
        <w:tc>
          <w:tcPr>
            <w:tcW w:w="500" w:type="pct"/>
            <w:shd w:val="clear" w:color="auto" w:fill="5F9EFF" w:themeFill="text2" w:themeFillTint="66"/>
          </w:tcPr>
          <w:p w14:paraId="55F8276E" w14:textId="77777777" w:rsidR="00CA72E5" w:rsidRDefault="00CA72E5" w:rsidP="00B16B49">
            <w:pPr>
              <w:rPr>
                <w:rStyle w:val="eop"/>
                <w:b/>
                <w:color w:val="auto"/>
                <w:sz w:val="24"/>
              </w:rPr>
            </w:pPr>
          </w:p>
        </w:tc>
        <w:tc>
          <w:tcPr>
            <w:tcW w:w="501" w:type="pct"/>
            <w:shd w:val="clear" w:color="auto" w:fill="5F9EFF" w:themeFill="text2" w:themeFillTint="66"/>
          </w:tcPr>
          <w:p w14:paraId="2C0D8260" w14:textId="77777777" w:rsidR="00CA72E5" w:rsidRDefault="00CA72E5" w:rsidP="00B16B49">
            <w:pPr>
              <w:rPr>
                <w:rStyle w:val="eop"/>
                <w:b/>
                <w:color w:val="auto"/>
                <w:sz w:val="24"/>
              </w:rPr>
            </w:pPr>
          </w:p>
        </w:tc>
      </w:tr>
      <w:tr w:rsidR="00CA72E5" w14:paraId="1F0F13E5" w14:textId="77777777" w:rsidTr="00B16B49">
        <w:tc>
          <w:tcPr>
            <w:tcW w:w="498" w:type="pct"/>
            <w:shd w:val="clear" w:color="auto" w:fill="5F9EFF" w:themeFill="text2" w:themeFillTint="66"/>
          </w:tcPr>
          <w:p w14:paraId="0A3FB68A" w14:textId="77777777" w:rsidR="00CA72E5" w:rsidRDefault="00CA72E5" w:rsidP="00B16B49">
            <w:pPr>
              <w:rPr>
                <w:rStyle w:val="eop"/>
                <w:b/>
                <w:color w:val="auto"/>
                <w:sz w:val="24"/>
              </w:rPr>
            </w:pPr>
          </w:p>
        </w:tc>
        <w:tc>
          <w:tcPr>
            <w:tcW w:w="500" w:type="pct"/>
            <w:shd w:val="clear" w:color="auto" w:fill="5F9EFF" w:themeFill="text2" w:themeFillTint="66"/>
          </w:tcPr>
          <w:p w14:paraId="494A7BDD" w14:textId="77777777" w:rsidR="00CA72E5" w:rsidRDefault="00CA72E5" w:rsidP="00B16B49">
            <w:pPr>
              <w:rPr>
                <w:rStyle w:val="eop"/>
                <w:b/>
                <w:color w:val="auto"/>
                <w:sz w:val="24"/>
              </w:rPr>
            </w:pPr>
          </w:p>
        </w:tc>
        <w:tc>
          <w:tcPr>
            <w:tcW w:w="500" w:type="pct"/>
            <w:shd w:val="clear" w:color="auto" w:fill="5F9EFF" w:themeFill="text2" w:themeFillTint="66"/>
          </w:tcPr>
          <w:p w14:paraId="497E9BCF" w14:textId="77777777" w:rsidR="00CA72E5" w:rsidRDefault="00CA72E5" w:rsidP="00B16B49">
            <w:pPr>
              <w:rPr>
                <w:rStyle w:val="eop"/>
                <w:b/>
                <w:color w:val="auto"/>
                <w:sz w:val="24"/>
              </w:rPr>
            </w:pPr>
          </w:p>
        </w:tc>
        <w:tc>
          <w:tcPr>
            <w:tcW w:w="500" w:type="pct"/>
            <w:shd w:val="clear" w:color="auto" w:fill="5F9EFF" w:themeFill="text2" w:themeFillTint="66"/>
          </w:tcPr>
          <w:p w14:paraId="192C3BD4" w14:textId="77777777" w:rsidR="00CA72E5" w:rsidRDefault="00CA72E5" w:rsidP="00B16B49">
            <w:pPr>
              <w:rPr>
                <w:rStyle w:val="eop"/>
                <w:b/>
                <w:color w:val="auto"/>
                <w:sz w:val="24"/>
              </w:rPr>
            </w:pPr>
          </w:p>
        </w:tc>
        <w:tc>
          <w:tcPr>
            <w:tcW w:w="500" w:type="pct"/>
            <w:shd w:val="clear" w:color="auto" w:fill="5F9EFF" w:themeFill="text2" w:themeFillTint="66"/>
          </w:tcPr>
          <w:p w14:paraId="50FFEF82" w14:textId="77777777" w:rsidR="00CA72E5" w:rsidRDefault="00CA72E5" w:rsidP="00B16B49">
            <w:pPr>
              <w:rPr>
                <w:rStyle w:val="eop"/>
                <w:b/>
                <w:color w:val="auto"/>
                <w:sz w:val="24"/>
              </w:rPr>
            </w:pPr>
          </w:p>
        </w:tc>
        <w:tc>
          <w:tcPr>
            <w:tcW w:w="500" w:type="pct"/>
            <w:shd w:val="clear" w:color="auto" w:fill="5F9EFF" w:themeFill="text2" w:themeFillTint="66"/>
          </w:tcPr>
          <w:p w14:paraId="0594309C" w14:textId="77777777" w:rsidR="00CA72E5" w:rsidRDefault="00CA72E5" w:rsidP="00B16B49">
            <w:pPr>
              <w:rPr>
                <w:rStyle w:val="eop"/>
                <w:b/>
                <w:color w:val="auto"/>
                <w:sz w:val="24"/>
              </w:rPr>
            </w:pPr>
          </w:p>
        </w:tc>
        <w:tc>
          <w:tcPr>
            <w:tcW w:w="500" w:type="pct"/>
            <w:shd w:val="clear" w:color="auto" w:fill="5F9EFF" w:themeFill="text2" w:themeFillTint="66"/>
          </w:tcPr>
          <w:p w14:paraId="2119971B" w14:textId="77777777" w:rsidR="00CA72E5" w:rsidRDefault="00CA72E5" w:rsidP="00B16B49">
            <w:pPr>
              <w:rPr>
                <w:rStyle w:val="eop"/>
                <w:b/>
                <w:color w:val="auto"/>
                <w:sz w:val="24"/>
              </w:rPr>
            </w:pPr>
          </w:p>
        </w:tc>
        <w:tc>
          <w:tcPr>
            <w:tcW w:w="500" w:type="pct"/>
            <w:shd w:val="clear" w:color="auto" w:fill="5F9EFF" w:themeFill="text2" w:themeFillTint="66"/>
          </w:tcPr>
          <w:p w14:paraId="6DC6B6C1" w14:textId="77777777" w:rsidR="00CA72E5" w:rsidRDefault="00CA72E5" w:rsidP="00B16B49">
            <w:pPr>
              <w:rPr>
                <w:rStyle w:val="eop"/>
                <w:b/>
                <w:color w:val="auto"/>
                <w:sz w:val="24"/>
              </w:rPr>
            </w:pPr>
          </w:p>
        </w:tc>
        <w:tc>
          <w:tcPr>
            <w:tcW w:w="500" w:type="pct"/>
            <w:shd w:val="clear" w:color="auto" w:fill="5F9EFF" w:themeFill="text2" w:themeFillTint="66"/>
          </w:tcPr>
          <w:p w14:paraId="7B5E030B" w14:textId="77777777" w:rsidR="00CA72E5" w:rsidRDefault="00CA72E5" w:rsidP="00B16B49">
            <w:pPr>
              <w:rPr>
                <w:rStyle w:val="eop"/>
                <w:b/>
                <w:color w:val="auto"/>
                <w:sz w:val="24"/>
              </w:rPr>
            </w:pPr>
          </w:p>
        </w:tc>
        <w:tc>
          <w:tcPr>
            <w:tcW w:w="501" w:type="pct"/>
            <w:shd w:val="clear" w:color="auto" w:fill="5F9EFF" w:themeFill="text2" w:themeFillTint="66"/>
          </w:tcPr>
          <w:p w14:paraId="60A7C3CA" w14:textId="77777777" w:rsidR="00CA72E5" w:rsidRDefault="00CA72E5" w:rsidP="00B16B49">
            <w:pPr>
              <w:rPr>
                <w:rStyle w:val="eop"/>
                <w:b/>
                <w:color w:val="auto"/>
                <w:sz w:val="24"/>
              </w:rPr>
            </w:pPr>
          </w:p>
        </w:tc>
      </w:tr>
      <w:tr w:rsidR="00CA72E5" w14:paraId="51533B69" w14:textId="77777777" w:rsidTr="00B16B49">
        <w:tc>
          <w:tcPr>
            <w:tcW w:w="498" w:type="pct"/>
            <w:shd w:val="clear" w:color="auto" w:fill="5F9EFF" w:themeFill="text2" w:themeFillTint="66"/>
          </w:tcPr>
          <w:p w14:paraId="207B072B" w14:textId="77777777" w:rsidR="00CA72E5" w:rsidRDefault="00CA72E5" w:rsidP="00B16B49">
            <w:pPr>
              <w:rPr>
                <w:rStyle w:val="eop"/>
                <w:b/>
                <w:color w:val="auto"/>
                <w:sz w:val="24"/>
              </w:rPr>
            </w:pPr>
          </w:p>
        </w:tc>
        <w:tc>
          <w:tcPr>
            <w:tcW w:w="500" w:type="pct"/>
            <w:shd w:val="clear" w:color="auto" w:fill="5F9EFF" w:themeFill="text2" w:themeFillTint="66"/>
          </w:tcPr>
          <w:p w14:paraId="2ACEC155" w14:textId="77777777" w:rsidR="00CA72E5" w:rsidRDefault="00CA72E5" w:rsidP="00B16B49">
            <w:pPr>
              <w:rPr>
                <w:rStyle w:val="eop"/>
                <w:b/>
                <w:color w:val="auto"/>
                <w:sz w:val="24"/>
              </w:rPr>
            </w:pPr>
          </w:p>
        </w:tc>
        <w:tc>
          <w:tcPr>
            <w:tcW w:w="500" w:type="pct"/>
            <w:shd w:val="clear" w:color="auto" w:fill="5F9EFF" w:themeFill="text2" w:themeFillTint="66"/>
          </w:tcPr>
          <w:p w14:paraId="58DBA302" w14:textId="77777777" w:rsidR="00CA72E5" w:rsidRDefault="00CA72E5" w:rsidP="00B16B49">
            <w:pPr>
              <w:rPr>
                <w:rStyle w:val="eop"/>
                <w:b/>
                <w:color w:val="auto"/>
                <w:sz w:val="24"/>
              </w:rPr>
            </w:pPr>
          </w:p>
        </w:tc>
        <w:tc>
          <w:tcPr>
            <w:tcW w:w="500" w:type="pct"/>
            <w:shd w:val="clear" w:color="auto" w:fill="5F9EFF" w:themeFill="text2" w:themeFillTint="66"/>
          </w:tcPr>
          <w:p w14:paraId="7D09685A" w14:textId="77777777" w:rsidR="00CA72E5" w:rsidRDefault="00CA72E5" w:rsidP="00B16B49">
            <w:pPr>
              <w:rPr>
                <w:rStyle w:val="eop"/>
                <w:b/>
                <w:color w:val="auto"/>
                <w:sz w:val="24"/>
              </w:rPr>
            </w:pPr>
          </w:p>
        </w:tc>
        <w:tc>
          <w:tcPr>
            <w:tcW w:w="500" w:type="pct"/>
            <w:shd w:val="clear" w:color="auto" w:fill="5F9EFF" w:themeFill="text2" w:themeFillTint="66"/>
          </w:tcPr>
          <w:p w14:paraId="6CF542B9" w14:textId="77777777" w:rsidR="00CA72E5" w:rsidRDefault="00CA72E5" w:rsidP="00B16B49">
            <w:pPr>
              <w:rPr>
                <w:rStyle w:val="eop"/>
                <w:b/>
                <w:color w:val="auto"/>
                <w:sz w:val="24"/>
              </w:rPr>
            </w:pPr>
          </w:p>
        </w:tc>
        <w:tc>
          <w:tcPr>
            <w:tcW w:w="500" w:type="pct"/>
            <w:shd w:val="clear" w:color="auto" w:fill="5F9EFF" w:themeFill="text2" w:themeFillTint="66"/>
          </w:tcPr>
          <w:p w14:paraId="180DA121" w14:textId="77777777" w:rsidR="00CA72E5" w:rsidRDefault="00CA72E5" w:rsidP="00B16B49">
            <w:pPr>
              <w:rPr>
                <w:rStyle w:val="eop"/>
                <w:b/>
                <w:color w:val="auto"/>
                <w:sz w:val="24"/>
              </w:rPr>
            </w:pPr>
          </w:p>
        </w:tc>
        <w:tc>
          <w:tcPr>
            <w:tcW w:w="500" w:type="pct"/>
            <w:shd w:val="clear" w:color="auto" w:fill="5F9EFF" w:themeFill="text2" w:themeFillTint="66"/>
          </w:tcPr>
          <w:p w14:paraId="5DEB3472" w14:textId="77777777" w:rsidR="00CA72E5" w:rsidRDefault="00CA72E5" w:rsidP="00B16B49">
            <w:pPr>
              <w:rPr>
                <w:rStyle w:val="eop"/>
                <w:b/>
                <w:color w:val="auto"/>
                <w:sz w:val="24"/>
              </w:rPr>
            </w:pPr>
          </w:p>
        </w:tc>
        <w:tc>
          <w:tcPr>
            <w:tcW w:w="500" w:type="pct"/>
            <w:shd w:val="clear" w:color="auto" w:fill="5F9EFF" w:themeFill="text2" w:themeFillTint="66"/>
          </w:tcPr>
          <w:p w14:paraId="2347E1DE" w14:textId="77777777" w:rsidR="00CA72E5" w:rsidRDefault="00CA72E5" w:rsidP="00B16B49">
            <w:pPr>
              <w:rPr>
                <w:rStyle w:val="eop"/>
                <w:b/>
                <w:color w:val="auto"/>
                <w:sz w:val="24"/>
              </w:rPr>
            </w:pPr>
          </w:p>
        </w:tc>
        <w:tc>
          <w:tcPr>
            <w:tcW w:w="500" w:type="pct"/>
            <w:shd w:val="clear" w:color="auto" w:fill="5F9EFF" w:themeFill="text2" w:themeFillTint="66"/>
          </w:tcPr>
          <w:p w14:paraId="17B0BD12" w14:textId="77777777" w:rsidR="00CA72E5" w:rsidRDefault="00CA72E5" w:rsidP="00B16B49">
            <w:pPr>
              <w:rPr>
                <w:rStyle w:val="eop"/>
                <w:b/>
                <w:color w:val="auto"/>
                <w:sz w:val="24"/>
              </w:rPr>
            </w:pPr>
          </w:p>
        </w:tc>
        <w:tc>
          <w:tcPr>
            <w:tcW w:w="501" w:type="pct"/>
            <w:shd w:val="clear" w:color="auto" w:fill="5F9EFF" w:themeFill="text2" w:themeFillTint="66"/>
          </w:tcPr>
          <w:p w14:paraId="72521096" w14:textId="77777777" w:rsidR="00CA72E5" w:rsidRDefault="00CA72E5" w:rsidP="00B16B49">
            <w:pPr>
              <w:rPr>
                <w:rStyle w:val="eop"/>
                <w:b/>
                <w:color w:val="auto"/>
                <w:sz w:val="24"/>
              </w:rPr>
            </w:pPr>
          </w:p>
        </w:tc>
      </w:tr>
    </w:tbl>
    <w:p w14:paraId="62F906A8" w14:textId="49DA4904" w:rsidR="001A65EE" w:rsidRPr="001A65EE" w:rsidRDefault="001A65EE" w:rsidP="00CA72E5">
      <w:pPr>
        <w:pStyle w:val="Heading1"/>
        <w:jc w:val="center"/>
        <w:rPr>
          <w:rStyle w:val="eop"/>
          <w:b w:val="0"/>
          <w:color w:val="auto"/>
        </w:rPr>
      </w:pPr>
    </w:p>
    <w:sectPr w:rsidR="001A65EE" w:rsidRPr="001A65EE" w:rsidSect="00A9581F">
      <w:headerReference w:type="default" r:id="rId7"/>
      <w:footerReference w:type="default" r:id="rId8"/>
      <w:headerReference w:type="first" r:id="rId9"/>
      <w:footerReference w:type="first" r:id="rId10"/>
      <w:pgSz w:w="11906" w:h="16838" w:code="9"/>
      <w:pgMar w:top="2268" w:right="1133" w:bottom="1361" w:left="907" w:header="90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528C25" w16cex:dateUtc="2025-01-28T06:12:30.639Z"/>
  <w16cex:commentExtensible w16cex:durableId="274C8DDB" w16cex:dateUtc="2025-01-28T06:24:01.086Z"/>
  <w16cex:commentExtensible w16cex:durableId="414629E1" w16cex:dateUtc="2025-07-21T04:30:25.542Z"/>
  <w16cex:commentExtensible w16cex:durableId="498ECD03" w16cex:dateUtc="2025-07-22T01:38:36.721Z"/>
</w16cex:commentsExtensible>
</file>

<file path=word/commentsIds.xml><?xml version="1.0" encoding="utf-8"?>
<w16cid:commentsIds xmlns:mc="http://schemas.openxmlformats.org/markup-compatibility/2006" xmlns:w16cid="http://schemas.microsoft.com/office/word/2016/wordml/cid" mc:Ignorable="w16cid">
  <w16cid:commentId w16cid:paraId="447F4687" w16cid:durableId="104D1FDE"/>
  <w16cid:commentId w16cid:paraId="0DD4AC41" w16cid:durableId="3EE5F6C2"/>
  <w16cid:commentId w16cid:paraId="2F92FD69" w16cid:durableId="43425FC8"/>
  <w16cid:commentId w16cid:paraId="22869C46" w16cid:durableId="11687B90"/>
  <w16cid:commentId w16cid:paraId="11E91C15" w16cid:durableId="1010126E"/>
  <w16cid:commentId w16cid:paraId="4A7B8FC5" w16cid:durableId="5E458E98"/>
  <w16cid:commentId w16cid:paraId="2CE186C6" w16cid:durableId="5A528C25"/>
  <w16cid:commentId w16cid:paraId="4A557319" w16cid:durableId="274C8DDB"/>
  <w16cid:commentId w16cid:paraId="5D8B2BC2" w16cid:durableId="414629E1"/>
  <w16cid:commentId w16cid:paraId="7201C90D" w16cid:durableId="498ECD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1A824" w14:textId="77777777" w:rsidR="00F124B2" w:rsidRDefault="00F124B2" w:rsidP="001D0AFC">
      <w:r>
        <w:separator/>
      </w:r>
    </w:p>
    <w:p w14:paraId="70CC2BB7" w14:textId="77777777" w:rsidR="00F124B2" w:rsidRDefault="00F124B2"/>
    <w:p w14:paraId="63B605FD" w14:textId="77777777" w:rsidR="00F124B2" w:rsidRDefault="00F124B2"/>
    <w:p w14:paraId="59109426" w14:textId="77777777" w:rsidR="00F124B2" w:rsidRDefault="00F124B2"/>
  </w:endnote>
  <w:endnote w:type="continuationSeparator" w:id="0">
    <w:p w14:paraId="4AB7C880" w14:textId="77777777" w:rsidR="00F124B2" w:rsidRDefault="00F124B2" w:rsidP="001D0AFC">
      <w:r>
        <w:continuationSeparator/>
      </w:r>
    </w:p>
    <w:p w14:paraId="0793A1CF" w14:textId="77777777" w:rsidR="00F124B2" w:rsidRDefault="00F124B2"/>
    <w:p w14:paraId="45B3245E" w14:textId="77777777" w:rsidR="00F124B2" w:rsidRDefault="00F124B2"/>
    <w:p w14:paraId="0486FD66" w14:textId="77777777" w:rsidR="00F124B2" w:rsidRDefault="00F124B2"/>
  </w:endnote>
  <w:endnote w:type="continuationNotice" w:id="1">
    <w:p w14:paraId="14571125" w14:textId="77777777" w:rsidR="00F124B2" w:rsidRDefault="00F124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FC282" w14:textId="77777777" w:rsidR="00B16B49" w:rsidRPr="00AC4B47" w:rsidRDefault="00F124B2" w:rsidP="00AC4B47">
    <w:pPr>
      <w:pStyle w:val="Header"/>
      <w:jc w:val="center"/>
      <w:rPr>
        <w:caps/>
        <w:color w:val="FF0000"/>
        <w:sz w:val="16"/>
        <w:szCs w:val="16"/>
      </w:rPr>
    </w:pPr>
    <w:sdt>
      <w:sdtPr>
        <w:rPr>
          <w:caps/>
          <w:color w:val="FF0000"/>
          <w:sz w:val="16"/>
          <w:szCs w:val="16"/>
        </w:rPr>
        <w:alias w:val="Classification"/>
        <w:tag w:val="Classification"/>
        <w:id w:val="1609311897"/>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sdtContent>
        <w:r w:rsidR="00B16B49">
          <w:rPr>
            <w:caps/>
            <w:color w:val="FF0000"/>
            <w:sz w:val="16"/>
            <w:szCs w:val="16"/>
          </w:rPr>
          <w:t>Official</w:t>
        </w:r>
      </w:sdtContent>
    </w:sdt>
  </w:p>
  <w:p w14:paraId="32C745B6" w14:textId="52769AB8" w:rsidR="00B16B49" w:rsidRPr="00033439" w:rsidRDefault="00B16B49" w:rsidP="00D73374">
    <w:pPr>
      <w:pStyle w:val="Footer"/>
    </w:pPr>
    <w:r w:rsidRPr="00033439">
      <w:rPr>
        <w:b/>
        <w:bCs/>
      </w:rPr>
      <w:t>Net Zero Economy Authority</w:t>
    </w:r>
    <w:r w:rsidRPr="00033439">
      <w:tab/>
    </w:r>
    <w:r w:rsidRPr="00033439">
      <w:fldChar w:fldCharType="begin"/>
    </w:r>
    <w:r w:rsidRPr="00033439">
      <w:instrText xml:space="preserve"> PAGE   \* MERGEFORMAT </w:instrText>
    </w:r>
    <w:r w:rsidRPr="00033439">
      <w:fldChar w:fldCharType="separate"/>
    </w:r>
    <w:r w:rsidR="00DE1CCE">
      <w:rPr>
        <w:noProof/>
      </w:rPr>
      <w:t>12</w:t>
    </w:r>
    <w:r w:rsidRPr="0003343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EDBF6" w14:textId="77777777" w:rsidR="00B16B49" w:rsidRPr="00AC4B47" w:rsidRDefault="00F124B2" w:rsidP="00A9581F">
    <w:pPr>
      <w:pStyle w:val="Header"/>
      <w:tabs>
        <w:tab w:val="clear" w:pos="4513"/>
        <w:tab w:val="clear" w:pos="9026"/>
        <w:tab w:val="right" w:pos="9781"/>
      </w:tabs>
      <w:ind w:right="85"/>
      <w:jc w:val="center"/>
      <w:rPr>
        <w:caps/>
        <w:color w:val="FF0000"/>
        <w:sz w:val="16"/>
        <w:szCs w:val="16"/>
      </w:rPr>
    </w:pPr>
    <w:sdt>
      <w:sdtPr>
        <w:rPr>
          <w:caps/>
          <w:color w:val="FF0000"/>
          <w:sz w:val="16"/>
          <w:szCs w:val="16"/>
        </w:rPr>
        <w:alias w:val="Classification"/>
        <w:tag w:val="Classification"/>
        <w:id w:val="-2139638359"/>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sdtContent>
        <w:r w:rsidR="00B16B49">
          <w:rPr>
            <w:caps/>
            <w:color w:val="FF0000"/>
            <w:sz w:val="16"/>
            <w:szCs w:val="16"/>
          </w:rPr>
          <w:t>Official</w:t>
        </w:r>
      </w:sdtContent>
    </w:sdt>
  </w:p>
  <w:p w14:paraId="3759E6C7" w14:textId="3B6F3B15" w:rsidR="00B16B49" w:rsidRDefault="00B16B49" w:rsidP="00A9581F">
    <w:pPr>
      <w:pStyle w:val="Footer"/>
      <w:tabs>
        <w:tab w:val="clear" w:pos="10206"/>
        <w:tab w:val="right" w:pos="9781"/>
      </w:tabs>
      <w:ind w:right="85"/>
    </w:pPr>
    <w:r w:rsidRPr="00033439">
      <w:rPr>
        <w:b/>
        <w:bCs/>
      </w:rPr>
      <w:t>Net Zero Economy Authority</w:t>
    </w:r>
    <w:r>
      <w:rPr>
        <w:b/>
        <w:bCs/>
      </w:rPr>
      <w:t> </w:t>
    </w:r>
    <w:r w:rsidRPr="00033439">
      <w:tab/>
    </w:r>
    <w:r w:rsidRPr="00033439">
      <w:fldChar w:fldCharType="begin"/>
    </w:r>
    <w:r w:rsidRPr="00033439">
      <w:instrText xml:space="preserve"> PAGE   \* MERGEFORMAT </w:instrText>
    </w:r>
    <w:r w:rsidRPr="00033439">
      <w:fldChar w:fldCharType="separate"/>
    </w:r>
    <w:r w:rsidR="00DE1CCE">
      <w:rPr>
        <w:noProof/>
      </w:rPr>
      <w:t>1</w:t>
    </w:r>
    <w:r w:rsidRPr="0003343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9195C" w14:textId="77777777" w:rsidR="00F124B2" w:rsidRDefault="00F124B2" w:rsidP="001D0AFC">
      <w:r>
        <w:separator/>
      </w:r>
    </w:p>
    <w:p w14:paraId="779E8FA6" w14:textId="77777777" w:rsidR="00F124B2" w:rsidRDefault="00F124B2"/>
  </w:footnote>
  <w:footnote w:type="continuationSeparator" w:id="0">
    <w:p w14:paraId="3F657FBD" w14:textId="77777777" w:rsidR="00F124B2" w:rsidRDefault="00F124B2" w:rsidP="001D0AFC">
      <w:r>
        <w:continuationSeparator/>
      </w:r>
    </w:p>
    <w:p w14:paraId="33E25F03" w14:textId="77777777" w:rsidR="00F124B2" w:rsidRDefault="00F124B2"/>
  </w:footnote>
  <w:footnote w:type="continuationNotice" w:id="1">
    <w:p w14:paraId="22A617BE" w14:textId="77777777" w:rsidR="00F124B2" w:rsidRDefault="00F124B2">
      <w:pPr>
        <w:spacing w:before="0" w:after="0"/>
      </w:pPr>
    </w:p>
    <w:p w14:paraId="58E9A312" w14:textId="77777777" w:rsidR="00F124B2" w:rsidRDefault="00F124B2"/>
  </w:footnote>
  <w:footnote w:id="2">
    <w:p w14:paraId="794E9537" w14:textId="3EF47CFE" w:rsidR="00B16B49" w:rsidRDefault="00B16B49" w:rsidP="00CA72E5">
      <w:pPr>
        <w:pStyle w:val="FootnoteText"/>
      </w:pPr>
      <w:r>
        <w:rPr>
          <w:rStyle w:val="FootnoteReference"/>
        </w:rPr>
        <w:footnoteRef/>
      </w:r>
      <w:r>
        <w:t xml:space="preserve"> </w:t>
      </w:r>
      <w:proofErr w:type="spellStart"/>
      <w:r>
        <w:t>BloombergNEF</w:t>
      </w:r>
      <w:proofErr w:type="spellEnd"/>
      <w:r>
        <w:t xml:space="preserve">, </w:t>
      </w:r>
      <w:hyperlink r:id="rId1" w:anchor=":~:text=August%2019%2C%202024,%2C%20pumped%20hydro%2C%20and%20gas." w:history="1">
        <w:r>
          <w:rPr>
            <w:rStyle w:val="Hyperlink"/>
          </w:rPr>
          <w:t xml:space="preserve">Urgent Scale-Up of Clean Technologies Needed to Keep Australia on Net-Zero Trajectory | </w:t>
        </w:r>
        <w:proofErr w:type="spellStart"/>
        <w:r>
          <w:rPr>
            <w:rStyle w:val="Hyperlink"/>
          </w:rPr>
          <w:t>BloombergNEF</w:t>
        </w:r>
        <w:proofErr w:type="spellEnd"/>
      </w:hyperlink>
      <w:r>
        <w:t xml:space="preserve"> [media release], 19 August 2024, accessed 25 July 2025.</w:t>
      </w:r>
    </w:p>
  </w:footnote>
  <w:footnote w:id="3">
    <w:p w14:paraId="56BF6002" w14:textId="472EE59C" w:rsidR="00B16B49" w:rsidRDefault="00B16B49" w:rsidP="00CA72E5">
      <w:pPr>
        <w:pStyle w:val="FootnoteText"/>
      </w:pPr>
      <w:r>
        <w:rPr>
          <w:rStyle w:val="FootnoteReference"/>
        </w:rPr>
        <w:footnoteRef/>
      </w:r>
      <w:r>
        <w:t xml:space="preserve"> </w:t>
      </w:r>
      <w:r w:rsidRPr="002F35D2">
        <w:rPr>
          <w:color w:val="auto"/>
        </w:rPr>
        <w:t xml:space="preserve">The Government has provided $10.4 million over 4 years from 2023–24, and ongoing funding of $3 million, to the Department of Finance to enhance accountability and effectiveness in the Australian Government’s use of specialist investment vehicles, by establishing a comprehensive oversight and governance function of the specialist investment vehicle portfolio.  </w:t>
      </w:r>
      <w:r>
        <w:rPr>
          <w:color w:val="auto"/>
        </w:rPr>
        <w:t xml:space="preserve">See </w:t>
      </w:r>
      <w:r w:rsidRPr="002F35D2">
        <w:rPr>
          <w:color w:val="auto"/>
        </w:rPr>
        <w:t>Australia</w:t>
      </w:r>
      <w:r>
        <w:rPr>
          <w:color w:val="auto"/>
        </w:rPr>
        <w:t>n</w:t>
      </w:r>
      <w:r w:rsidRPr="002F35D2">
        <w:rPr>
          <w:color w:val="auto"/>
        </w:rPr>
        <w:t xml:space="preserve"> Government, Budget 2023-24, Budget Paper No. 2, Finance Portfoli</w:t>
      </w:r>
      <w:r w:rsidR="00020759">
        <w:rPr>
          <w:color w:val="auto"/>
        </w:rPr>
        <w:t>o – additional resourcing, p112</w:t>
      </w:r>
      <w:r w:rsidRPr="002F35D2">
        <w:rPr>
          <w:color w:val="auto"/>
        </w:rPr>
        <w:t>.</w:t>
      </w:r>
    </w:p>
  </w:footnote>
  <w:footnote w:id="4">
    <w:p w14:paraId="06D2FE7A" w14:textId="77777777" w:rsidR="00B16B49" w:rsidRDefault="00B16B49" w:rsidP="00CA72E5">
      <w:pPr>
        <w:pStyle w:val="FootnoteText"/>
      </w:pPr>
      <w:r>
        <w:rPr>
          <w:rStyle w:val="FootnoteReference"/>
        </w:rPr>
        <w:footnoteRef/>
      </w:r>
      <w:r>
        <w:t xml:space="preserve"> Productivity Commission, Trade and Assistance Review 2023-24.</w:t>
      </w:r>
    </w:p>
  </w:footnote>
  <w:footnote w:id="5">
    <w:p w14:paraId="67794850" w14:textId="3D1F2EE0" w:rsidR="00B16B49" w:rsidRDefault="00B16B49" w:rsidP="00CA72E5">
      <w:pPr>
        <w:pStyle w:val="FootnoteText"/>
      </w:pPr>
      <w:r>
        <w:rPr>
          <w:rStyle w:val="FootnoteReference"/>
        </w:rPr>
        <w:footnoteRef/>
      </w:r>
      <w:r>
        <w:t xml:space="preserve"> </w:t>
      </w:r>
      <w:r>
        <w:rPr>
          <w:color w:val="auto"/>
        </w:rPr>
        <w:t>The Authority notes the new Statement of Expectations issued to the Board of the National Reconstruction Fund Corporation that seeks to align the NRFC with the delivery of the Future Made in Australia objectives.</w:t>
      </w:r>
    </w:p>
  </w:footnote>
  <w:footnote w:id="6">
    <w:p w14:paraId="32D81588" w14:textId="77777777" w:rsidR="00B16B49" w:rsidRPr="00884C96" w:rsidRDefault="00B16B49" w:rsidP="00CA72E5">
      <w:pPr>
        <w:pStyle w:val="FootnoteText"/>
        <w:rPr>
          <w:color w:val="auto"/>
        </w:rPr>
      </w:pPr>
      <w:r w:rsidRPr="10F65BB7">
        <w:rPr>
          <w:rStyle w:val="FootnoteReference"/>
        </w:rPr>
        <w:footnoteRef/>
      </w:r>
      <w:r>
        <w:t xml:space="preserve"> For example, the CEFC, NRFC and NAIF investment mandates set a target average return of the 5 year Australian Government bond rate plus 2-3% per annum over medium to long term (for CEFC General Fund and the target return for NAIF is 3%). Expectations on the rate of return have changed overtime. For example, the CEFC’s original investment mandate direction</w:t>
      </w:r>
      <w:r w:rsidRPr="00884C96">
        <w:rPr>
          <w:color w:val="auto"/>
        </w:rPr>
        <w:t xml:space="preserve"> in 2013 set out a return rate equivalent to the 5 year Australian Government bond rate. In 2015, a new instrument was issues, increasing this to the bond rate plus 4-5%. That was lowered in 2016 to 3-4% and not lowered to 2-3% until 2023.</w:t>
      </w:r>
    </w:p>
  </w:footnote>
  <w:footnote w:id="7">
    <w:p w14:paraId="26BECE89" w14:textId="1E4E3DCC" w:rsidR="00B16B49" w:rsidRPr="00884C96" w:rsidRDefault="00B16B49" w:rsidP="00CA72E5">
      <w:pPr>
        <w:pStyle w:val="FootnoteText"/>
        <w:rPr>
          <w:color w:val="auto"/>
        </w:rPr>
      </w:pPr>
      <w:r w:rsidRPr="00884C96">
        <w:rPr>
          <w:rStyle w:val="FootnoteReference"/>
          <w:color w:val="auto"/>
        </w:rPr>
        <w:footnoteRef/>
      </w:r>
      <w:r w:rsidRPr="00884C96">
        <w:rPr>
          <w:color w:val="auto"/>
        </w:rPr>
        <w:t xml:space="preserve"> </w:t>
      </w:r>
      <w:r>
        <w:rPr>
          <w:color w:val="auto"/>
        </w:rPr>
        <w:t xml:space="preserve">Indigenous Land and Sea Corporation, </w:t>
      </w:r>
      <w:r w:rsidRPr="006913F8">
        <w:rPr>
          <w:i/>
          <w:color w:val="auto"/>
        </w:rPr>
        <w:t>National Indigenous Land and Sea Strategy, Discussion Paper: Unlocking Investment Capital</w:t>
      </w:r>
      <w:r w:rsidRPr="00884C96">
        <w:rPr>
          <w:color w:val="auto"/>
        </w:rPr>
        <w:t xml:space="preserve">, </w:t>
      </w:r>
      <w:r>
        <w:rPr>
          <w:color w:val="auto"/>
        </w:rPr>
        <w:t xml:space="preserve">Australian Government, </w:t>
      </w:r>
      <w:r w:rsidRPr="00884C96">
        <w:rPr>
          <w:color w:val="auto"/>
        </w:rPr>
        <w:t xml:space="preserve">2022. Available at: </w:t>
      </w:r>
      <w:hyperlink r:id="rId2" w:history="1">
        <w:r w:rsidRPr="00332EBE">
          <w:rPr>
            <w:rStyle w:val="Hyperlink"/>
          </w:rPr>
          <w:t>Investment-Capital-Discussion-Paper.pdf</w:t>
        </w:r>
      </w:hyperlink>
      <w:r w:rsidRPr="00884C96">
        <w:rPr>
          <w:color w:val="auto"/>
        </w:rPr>
        <w:t>.</w:t>
      </w:r>
    </w:p>
  </w:footnote>
  <w:footnote w:id="8">
    <w:p w14:paraId="0106263B" w14:textId="01A9D5B9" w:rsidR="00B16B49" w:rsidRPr="00884C96" w:rsidRDefault="00B16B49" w:rsidP="00CA72E5">
      <w:pPr>
        <w:pStyle w:val="FootnoteText"/>
        <w:rPr>
          <w:color w:val="auto"/>
        </w:rPr>
      </w:pPr>
      <w:r w:rsidRPr="00884C96">
        <w:rPr>
          <w:rStyle w:val="FootnoteReference"/>
          <w:color w:val="auto"/>
        </w:rPr>
        <w:footnoteRef/>
      </w:r>
      <w:r w:rsidRPr="00884C96">
        <w:rPr>
          <w:color w:val="auto"/>
        </w:rPr>
        <w:t xml:space="preserve"> </w:t>
      </w:r>
      <w:r>
        <w:rPr>
          <w:color w:val="auto"/>
        </w:rPr>
        <w:t xml:space="preserve">Department of Climate Change, Energy, the Environment and Water, </w:t>
      </w:r>
      <w:r>
        <w:rPr>
          <w:i/>
          <w:color w:val="auto"/>
        </w:rPr>
        <w:t xml:space="preserve">The First Nations Clean Energy Strategy 2024-2030, </w:t>
      </w:r>
      <w:r>
        <w:rPr>
          <w:color w:val="auto"/>
        </w:rPr>
        <w:t xml:space="preserve">Australian Government, 2024. </w:t>
      </w:r>
      <w:hyperlink r:id="rId3">
        <w:r w:rsidRPr="00332EBE">
          <w:rPr>
            <w:rStyle w:val="Hyperlink"/>
          </w:rPr>
          <w:t>First Nations Clean Energy Strategy.pdf</w:t>
        </w:r>
      </w:hyperlink>
      <w:r w:rsidRPr="00884C96">
        <w:rPr>
          <w:rStyle w:val="Hyperlink"/>
          <w:color w:val="auto"/>
        </w:rPr>
        <w:t>,</w:t>
      </w:r>
      <w:r w:rsidRPr="00884C96">
        <w:rPr>
          <w:rStyle w:val="Hyperlink"/>
          <w:color w:val="auto"/>
          <w:u w:val="none"/>
        </w:rPr>
        <w:t xml:space="preserve"> accessed 19 July 2025.</w:t>
      </w:r>
    </w:p>
  </w:footnote>
  <w:footnote w:id="9">
    <w:p w14:paraId="63F54B58" w14:textId="67FA5DB8" w:rsidR="00B16B49" w:rsidRPr="00884C96" w:rsidRDefault="00B16B49" w:rsidP="00CA72E5">
      <w:pPr>
        <w:pStyle w:val="FootnoteText"/>
        <w:rPr>
          <w:color w:val="auto"/>
        </w:rPr>
      </w:pPr>
      <w:r w:rsidRPr="00884C96">
        <w:rPr>
          <w:rStyle w:val="FootnoteReference"/>
          <w:color w:val="auto"/>
        </w:rPr>
        <w:footnoteRef/>
      </w:r>
      <w:r w:rsidRPr="00884C96">
        <w:rPr>
          <w:color w:val="auto"/>
        </w:rPr>
        <w:t>ARENA Annual Report 2023-24</w:t>
      </w:r>
      <w:r>
        <w:rPr>
          <w:color w:val="auto"/>
        </w:rPr>
        <w:t xml:space="preserve">, </w:t>
      </w:r>
      <w:r w:rsidRPr="006913F8">
        <w:rPr>
          <w:color w:val="auto"/>
        </w:rPr>
        <w:t>Australian Government, 2024</w:t>
      </w:r>
      <w:r w:rsidRPr="00884C96">
        <w:rPr>
          <w:color w:val="auto"/>
        </w:rPr>
        <w:t xml:space="preserve">. Available at: </w:t>
      </w:r>
      <w:hyperlink r:id="rId4" w:history="1">
        <w:r w:rsidRPr="00332EBE">
          <w:rPr>
            <w:rStyle w:val="Hyperlink"/>
          </w:rPr>
          <w:t>Annual-Report-2024-FNL_Digital.pdf</w:t>
        </w:r>
      </w:hyperlink>
      <w:r w:rsidRPr="00884C96">
        <w:rPr>
          <w:color w:val="auto"/>
        </w:rPr>
        <w:t>.</w:t>
      </w:r>
    </w:p>
  </w:footnote>
  <w:footnote w:id="10">
    <w:p w14:paraId="54586BB9" w14:textId="2F86A62A" w:rsidR="00B16B49" w:rsidRDefault="00B16B49" w:rsidP="00CA72E5">
      <w:pPr>
        <w:pStyle w:val="FootnoteText"/>
      </w:pPr>
      <w:r w:rsidRPr="00884C96">
        <w:rPr>
          <w:rStyle w:val="FootnoteReference"/>
          <w:color w:val="auto"/>
        </w:rPr>
        <w:footnoteRef/>
      </w:r>
      <w:r w:rsidRPr="00884C96">
        <w:rPr>
          <w:color w:val="auto"/>
        </w:rPr>
        <w:t xml:space="preserve"> </w:t>
      </w:r>
      <w:r w:rsidR="00CE4E94">
        <w:rPr>
          <w:color w:val="auto"/>
        </w:rPr>
        <w:t xml:space="preserve">Clean Energy Finance Corporation (CEFC), </w:t>
      </w:r>
      <w:r w:rsidR="00CE4E94">
        <w:rPr>
          <w:i/>
          <w:color w:val="auto"/>
        </w:rPr>
        <w:t>Leading Australia’s Energy Transition: Annual Report 2023-24</w:t>
      </w:r>
      <w:r w:rsidRPr="00884C96">
        <w:rPr>
          <w:color w:val="auto"/>
        </w:rPr>
        <w:t>, Figure 69: Investment commitments 2023-24: ESG opportunities</w:t>
      </w:r>
      <w:r w:rsidR="00CE4E94">
        <w:rPr>
          <w:color w:val="auto"/>
        </w:rPr>
        <w:t>. Australian Government, 2024</w:t>
      </w:r>
      <w:r w:rsidRPr="00884C96">
        <w:rPr>
          <w:color w:val="auto"/>
        </w:rPr>
        <w:t xml:space="preserve">, p194. Available at: </w:t>
      </w:r>
      <w:hyperlink r:id="rId5" w:history="1">
        <w:r w:rsidRPr="00485F09">
          <w:rPr>
            <w:rStyle w:val="Hyperlink"/>
          </w:rPr>
          <w:t>https://www.cefc.com.au/document?file=/media/d3dodzn3/cefc_annualreport2023-24.pdf</w:t>
        </w:r>
      </w:hyperlink>
      <w:r>
        <w:t>.</w:t>
      </w:r>
    </w:p>
  </w:footnote>
  <w:footnote w:id="11">
    <w:p w14:paraId="5F298E11" w14:textId="2064ED39" w:rsidR="00B16B49" w:rsidRPr="00884C96" w:rsidRDefault="00B16B49" w:rsidP="00CA72E5">
      <w:pPr>
        <w:pStyle w:val="FootnoteText"/>
        <w:rPr>
          <w:color w:val="auto"/>
        </w:rPr>
      </w:pPr>
      <w:r>
        <w:rPr>
          <w:rStyle w:val="FootnoteReference"/>
        </w:rPr>
        <w:footnoteRef/>
      </w:r>
      <w:r>
        <w:t xml:space="preserve"> </w:t>
      </w:r>
      <w:r w:rsidRPr="00884C96">
        <w:rPr>
          <w:color w:val="auto"/>
        </w:rPr>
        <w:t xml:space="preserve">Weld Australia, </w:t>
      </w:r>
      <w:r w:rsidRPr="00CE4E94">
        <w:rPr>
          <w:i/>
          <w:color w:val="auto"/>
        </w:rPr>
        <w:t>Weld Australia Demands Answers</w:t>
      </w:r>
      <w:r w:rsidRPr="00884C96">
        <w:rPr>
          <w:color w:val="auto"/>
        </w:rPr>
        <w:t>,</w:t>
      </w:r>
      <w:r w:rsidR="00CE4E94">
        <w:rPr>
          <w:color w:val="auto"/>
        </w:rPr>
        <w:t xml:space="preserve"> [media release],</w:t>
      </w:r>
      <w:r w:rsidRPr="00884C96">
        <w:rPr>
          <w:color w:val="auto"/>
        </w:rPr>
        <w:t xml:space="preserve"> May 28 2024. Available at: </w:t>
      </w:r>
      <w:hyperlink r:id="rId6" w:history="1">
        <w:r w:rsidRPr="00332EBE">
          <w:rPr>
            <w:rStyle w:val="Hyperlink"/>
          </w:rPr>
          <w:t>https://weldaustralia.com.au/news-views/weld-australia-demands-answers/</w:t>
        </w:r>
      </w:hyperlink>
      <w:r w:rsidRPr="00332EBE">
        <w:rPr>
          <w:color w:val="002C6F" w:themeColor="text2"/>
        </w:rPr>
        <w:t>.</w:t>
      </w:r>
    </w:p>
  </w:footnote>
  <w:footnote w:id="12">
    <w:p w14:paraId="583C17AA" w14:textId="77777777" w:rsidR="00B16B49" w:rsidRDefault="00B16B49" w:rsidP="00CA72E5">
      <w:pPr>
        <w:pStyle w:val="FootnoteText"/>
      </w:pPr>
      <w:r w:rsidRPr="552E3A6B">
        <w:rPr>
          <w:rStyle w:val="FootnoteReference"/>
        </w:rPr>
        <w:footnoteRef/>
      </w:r>
      <w:r>
        <w:t xml:space="preserve"> Of the 380 policies and programs, 180 are Commonwealth policies and programs across 9 themes: agriculture and land, climate-related wellbeing and adaptation, cross-cutting, energy and electricity, industry and waste, international, other, resources, and transport. </w:t>
      </w:r>
    </w:p>
  </w:footnote>
  <w:footnote w:id="13">
    <w:p w14:paraId="1464A768" w14:textId="581B8819" w:rsidR="00B16B49" w:rsidRDefault="00B16B49" w:rsidP="00CA72E5">
      <w:pPr>
        <w:pStyle w:val="FootnoteText"/>
      </w:pPr>
      <w:r>
        <w:rPr>
          <w:rStyle w:val="FootnoteReference"/>
        </w:rPr>
        <w:footnoteRef/>
      </w:r>
      <w:r>
        <w:t xml:space="preserve"> </w:t>
      </w:r>
      <w:r w:rsidR="00CE4E94">
        <w:t xml:space="preserve">Australian Chamber of Commerce and Industry (ACCI), </w:t>
      </w:r>
      <w:r w:rsidR="00CE4E94">
        <w:rPr>
          <w:i/>
        </w:rPr>
        <w:t>ACCI Submission</w:t>
      </w:r>
      <w:r w:rsidR="00CE4E94">
        <w:t>, submission to Productivity Commission, 2025, p 23.</w:t>
      </w:r>
    </w:p>
  </w:footnote>
  <w:footnote w:id="14">
    <w:p w14:paraId="747701AB" w14:textId="28CB28E3" w:rsidR="00B16B49" w:rsidRDefault="00B16B49" w:rsidP="00CA72E5">
      <w:pPr>
        <w:pStyle w:val="FootnoteText"/>
      </w:pPr>
      <w:r>
        <w:rPr>
          <w:rStyle w:val="FootnoteReference"/>
        </w:rPr>
        <w:footnoteRef/>
      </w:r>
      <w:r>
        <w:t xml:space="preserve"> Net Zero Australia, </w:t>
      </w:r>
      <w:r w:rsidRPr="00CE4E94">
        <w:rPr>
          <w:i/>
        </w:rPr>
        <w:t xml:space="preserve">How to make net zero happen, </w:t>
      </w:r>
      <w:proofErr w:type="gramStart"/>
      <w:r w:rsidRPr="00CE4E94">
        <w:rPr>
          <w:i/>
        </w:rPr>
        <w:t>Mobilisation</w:t>
      </w:r>
      <w:proofErr w:type="gramEnd"/>
      <w:r w:rsidRPr="00CE4E94">
        <w:rPr>
          <w:i/>
        </w:rPr>
        <w:t xml:space="preserve"> Report</w:t>
      </w:r>
      <w:r w:rsidR="00CE4E94">
        <w:t xml:space="preserve"> </w:t>
      </w:r>
      <w:r w:rsidRPr="00CE4E94">
        <w:rPr>
          <w:i/>
        </w:rPr>
        <w:t>July 2023</w:t>
      </w:r>
      <w:r>
        <w:t>, p 65.</w:t>
      </w:r>
    </w:p>
  </w:footnote>
  <w:footnote w:id="15">
    <w:p w14:paraId="1487E281" w14:textId="77777777" w:rsidR="00B16B49" w:rsidRDefault="00B16B49" w:rsidP="00CA72E5">
      <w:pPr>
        <w:pStyle w:val="FootnoteText"/>
      </w:pPr>
      <w:r>
        <w:rPr>
          <w:rStyle w:val="FootnoteReference"/>
        </w:rPr>
        <w:footnoteRef/>
      </w:r>
      <w:r>
        <w:t xml:space="preserve"> </w:t>
      </w:r>
      <w:proofErr w:type="spellStart"/>
      <w:r w:rsidRPr="00C97FE3">
        <w:rPr>
          <w:color w:val="auto"/>
        </w:rPr>
        <w:t>Rutovitz</w:t>
      </w:r>
      <w:proofErr w:type="spellEnd"/>
      <w:r w:rsidRPr="00C97FE3">
        <w:rPr>
          <w:color w:val="auto"/>
        </w:rPr>
        <w:t xml:space="preserve">, J., Gerrard, E., Lara, H., and Briggs, C. (2024). The Australian Electricity Workforce for the 2024 Integrated System Plan: Projections to 2050. Prepared for RACE for 2030. Available at: </w:t>
      </w:r>
      <w:hyperlink r:id="rId7" w:history="1">
        <w:r w:rsidRPr="00332EBE">
          <w:rPr>
            <w:rStyle w:val="Hyperlink"/>
          </w:rPr>
          <w:t>nem-2024-workforce_final.pdf</w:t>
        </w:r>
      </w:hyperlink>
      <w:r w:rsidRPr="00C97FE3">
        <w:rPr>
          <w:color w:val="auto"/>
        </w:rPr>
        <w:t>.</w:t>
      </w:r>
    </w:p>
  </w:footnote>
  <w:footnote w:id="16">
    <w:p w14:paraId="3C091933" w14:textId="0B2F0920" w:rsidR="00B16B49" w:rsidRPr="00C97FE3" w:rsidRDefault="00B16B49" w:rsidP="00CA72E5">
      <w:pPr>
        <w:pStyle w:val="FootnoteText"/>
        <w:rPr>
          <w:color w:val="auto"/>
        </w:rPr>
      </w:pPr>
      <w:r>
        <w:rPr>
          <w:rStyle w:val="FootnoteReference"/>
        </w:rPr>
        <w:footnoteRef/>
      </w:r>
      <w:r>
        <w:t xml:space="preserve"> </w:t>
      </w:r>
      <w:r w:rsidR="00CE4E94" w:rsidRPr="00C97FE3">
        <w:rPr>
          <w:color w:val="auto"/>
        </w:rPr>
        <w:t>The Australian Electricity Workforce for the 2024 Integrated System Plan: Projections to 2050 Final Report highlights that skill shortages create the risks of delays, increased project costs, and increased cost of ca</w:t>
      </w:r>
      <w:r w:rsidR="00CE4E94">
        <w:rPr>
          <w:color w:val="auto"/>
        </w:rPr>
        <w:t>pital to reflect increased risk</w:t>
      </w:r>
      <w:r w:rsidR="00CE4E94" w:rsidRPr="00CE4E94">
        <w:rPr>
          <w:color w:val="auto"/>
        </w:rPr>
        <w:t>.</w:t>
      </w:r>
    </w:p>
  </w:footnote>
  <w:footnote w:id="17">
    <w:p w14:paraId="4418850E" w14:textId="12FF498B" w:rsidR="00B16B49" w:rsidRPr="00C97FE3" w:rsidRDefault="00B16B49" w:rsidP="00CA72E5">
      <w:pPr>
        <w:pStyle w:val="FootnoteText"/>
        <w:rPr>
          <w:color w:val="auto"/>
        </w:rPr>
      </w:pPr>
      <w:r w:rsidRPr="00C97FE3">
        <w:rPr>
          <w:rStyle w:val="FootnoteReference"/>
          <w:color w:val="auto"/>
        </w:rPr>
        <w:footnoteRef/>
      </w:r>
      <w:r w:rsidRPr="00C97FE3">
        <w:rPr>
          <w:color w:val="auto"/>
        </w:rPr>
        <w:t xml:space="preserve"> CBRE Intelligent Investment Australia’s Renewable Energy Market, May 2025. Available at: </w:t>
      </w:r>
      <w:hyperlink r:id="rId8" w:history="1">
        <w:r w:rsidRPr="00332EBE">
          <w:rPr>
            <w:rStyle w:val="Hyperlink"/>
          </w:rPr>
          <w:t>Australia_s_Renewable_Energy_M.pdf</w:t>
        </w:r>
      </w:hyperlink>
      <w:r w:rsidR="00332EBE">
        <w:rPr>
          <w:rStyle w:val="Hyperlink"/>
        </w:rPr>
        <w:t xml:space="preserve"> </w:t>
      </w:r>
    </w:p>
  </w:footnote>
  <w:footnote w:id="18">
    <w:p w14:paraId="104E816A" w14:textId="20A740BF" w:rsidR="00CE4E94" w:rsidRPr="00C97FE3" w:rsidRDefault="00B16B49" w:rsidP="00CA72E5">
      <w:pPr>
        <w:pStyle w:val="FootnoteText"/>
        <w:rPr>
          <w:color w:val="auto"/>
        </w:rPr>
      </w:pPr>
      <w:r w:rsidRPr="00C97FE3">
        <w:rPr>
          <w:rStyle w:val="FootnoteReference"/>
          <w:color w:val="auto"/>
        </w:rPr>
        <w:footnoteRef/>
      </w:r>
      <w:r w:rsidRPr="00C97FE3">
        <w:rPr>
          <w:color w:val="auto"/>
        </w:rPr>
        <w:t xml:space="preserve"> Australian National University, </w:t>
      </w:r>
      <w:r w:rsidR="00CE4E94">
        <w:rPr>
          <w:color w:val="auto"/>
        </w:rPr>
        <w:t xml:space="preserve">L </w:t>
      </w:r>
      <w:proofErr w:type="spellStart"/>
      <w:r w:rsidR="00CE4E94">
        <w:rPr>
          <w:color w:val="auto"/>
        </w:rPr>
        <w:t>Clapin</w:t>
      </w:r>
      <w:proofErr w:type="spellEnd"/>
      <w:r w:rsidR="00CE4E94" w:rsidRPr="00C97FE3">
        <w:rPr>
          <w:color w:val="auto"/>
        </w:rPr>
        <w:t xml:space="preserve"> and </w:t>
      </w:r>
      <w:r w:rsidR="00CE4E94">
        <w:rPr>
          <w:color w:val="auto"/>
        </w:rPr>
        <w:t xml:space="preserve">T </w:t>
      </w:r>
      <w:proofErr w:type="spellStart"/>
      <w:r w:rsidR="00CE4E94" w:rsidRPr="00C97FE3">
        <w:rPr>
          <w:color w:val="auto"/>
        </w:rPr>
        <w:t>Longden</w:t>
      </w:r>
      <w:proofErr w:type="spellEnd"/>
      <w:r w:rsidR="00CE4E94" w:rsidRPr="00C97FE3">
        <w:rPr>
          <w:color w:val="auto"/>
        </w:rPr>
        <w:t xml:space="preserve">, </w:t>
      </w:r>
      <w:hyperlink r:id="rId9" w:history="1">
        <w:r w:rsidR="00CE4E94" w:rsidRPr="00182884">
          <w:rPr>
            <w:rStyle w:val="Hyperlink"/>
            <w:i/>
          </w:rPr>
          <w:t>Waiting to generate: an analysis of wind and solar project development lead-times in Australia's National Electricity Market</w:t>
        </w:r>
      </w:hyperlink>
      <w:r w:rsidR="00CE4E94">
        <w:rPr>
          <w:color w:val="auto"/>
        </w:rPr>
        <w:t xml:space="preserve">, 2022, </w:t>
      </w:r>
      <w:r w:rsidR="00CE4E94" w:rsidRPr="00CE4E94">
        <w:rPr>
          <w:color w:val="auto"/>
        </w:rPr>
        <w:t>accessed 20 July 2025</w:t>
      </w:r>
      <w:r w:rsidRPr="00CE4E94">
        <w:rPr>
          <w:color w:val="auto"/>
        </w:rPr>
        <w:t>.</w:t>
      </w:r>
    </w:p>
  </w:footnote>
  <w:footnote w:id="19">
    <w:p w14:paraId="7485A68F" w14:textId="15F6C2E6" w:rsidR="00B16B49" w:rsidRPr="00C97FE3" w:rsidRDefault="00B16B49" w:rsidP="00CA72E5">
      <w:pPr>
        <w:pStyle w:val="FootnoteText"/>
        <w:rPr>
          <w:color w:val="auto"/>
        </w:rPr>
      </w:pPr>
      <w:r w:rsidRPr="00C97FE3">
        <w:rPr>
          <w:rStyle w:val="FootnoteReference"/>
          <w:color w:val="auto"/>
        </w:rPr>
        <w:footnoteRef/>
      </w:r>
      <w:r w:rsidRPr="00C97FE3">
        <w:rPr>
          <w:color w:val="auto"/>
        </w:rPr>
        <w:t xml:space="preserve"> The 2025 NEM Connection Scorecard provides statistics on the timeframes for applications, registration and full output. </w:t>
      </w:r>
      <w:r w:rsidR="00FA02CB">
        <w:rPr>
          <w:color w:val="auto"/>
        </w:rPr>
        <w:t xml:space="preserve">See, AEMO, </w:t>
      </w:r>
      <w:r w:rsidR="00FA02CB">
        <w:rPr>
          <w:i/>
          <w:color w:val="auto"/>
        </w:rPr>
        <w:t xml:space="preserve">NEM Connection Scorecard – Mar 2025, </w:t>
      </w:r>
      <w:r w:rsidR="00FA02CB">
        <w:rPr>
          <w:color w:val="auto"/>
        </w:rPr>
        <w:t xml:space="preserve">Australian Government, 2025. </w:t>
      </w:r>
      <w:r w:rsidRPr="00C97FE3">
        <w:rPr>
          <w:color w:val="auto"/>
        </w:rPr>
        <w:t xml:space="preserve">Available at: </w:t>
      </w:r>
      <w:hyperlink r:id="rId10" w:history="1">
        <w:r w:rsidRPr="00332EBE">
          <w:rPr>
            <w:rStyle w:val="Hyperlink"/>
          </w:rPr>
          <w:t>march-2025.pdf</w:t>
        </w:r>
      </w:hyperlink>
    </w:p>
  </w:footnote>
  <w:footnote w:id="20">
    <w:p w14:paraId="4653B5DC" w14:textId="26B2A914" w:rsidR="00B16B49" w:rsidRPr="00C97FE3" w:rsidRDefault="00B16B49" w:rsidP="00CA72E5">
      <w:pPr>
        <w:pStyle w:val="FootnoteText"/>
        <w:rPr>
          <w:color w:val="auto"/>
        </w:rPr>
      </w:pPr>
      <w:r w:rsidRPr="00C97FE3">
        <w:rPr>
          <w:rStyle w:val="FootnoteReference"/>
          <w:color w:val="auto"/>
        </w:rPr>
        <w:footnoteRef/>
      </w:r>
      <w:r w:rsidRPr="00C97FE3">
        <w:rPr>
          <w:color w:val="auto"/>
        </w:rPr>
        <w:t xml:space="preserve"> OECD (2025), Fast-tracking Net Zero by Building Climate and Economic Resilience: A Summary for Policymakers, OECD Publishing, Paris, </w:t>
      </w:r>
      <w:hyperlink r:id="rId11" w:history="1">
        <w:r w:rsidRPr="00332EBE">
          <w:rPr>
            <w:rStyle w:val="Hyperlink"/>
            <w:rFonts w:ascii="Arial" w:hAnsi="Arial" w:cs="Arial"/>
            <w:bdr w:val="none" w:sz="0" w:space="0" w:color="auto" w:frame="1"/>
            <w:shd w:val="clear" w:color="auto" w:fill="FFFFFF"/>
          </w:rPr>
          <w:t>https://doi.org/10.1787/f2c22c96-en</w:t>
        </w:r>
      </w:hyperlink>
      <w:r w:rsidRPr="00C97FE3">
        <w:rPr>
          <w:rFonts w:ascii="Arial" w:hAnsi="Arial" w:cs="Arial"/>
          <w:color w:val="auto"/>
          <w:shd w:val="clear" w:color="auto" w:fill="FFFFFF"/>
        </w:rPr>
        <w:t>.</w:t>
      </w:r>
      <w:r w:rsidR="00FA02CB">
        <w:rPr>
          <w:rFonts w:ascii="Arial" w:hAnsi="Arial" w:cs="Arial"/>
          <w:color w:val="auto"/>
          <w:shd w:val="clear" w:color="auto" w:fill="FFFFFF"/>
        </w:rPr>
        <w:t xml:space="preserve"> Accessed 21 July 2025.</w:t>
      </w:r>
    </w:p>
  </w:footnote>
  <w:footnote w:id="21">
    <w:p w14:paraId="147480C8" w14:textId="6C704AB1" w:rsidR="00B16B49" w:rsidRPr="00C97FE3" w:rsidRDefault="00B16B49" w:rsidP="00CA72E5">
      <w:pPr>
        <w:pStyle w:val="FootnoteText"/>
        <w:rPr>
          <w:color w:val="auto"/>
        </w:rPr>
      </w:pPr>
      <w:r w:rsidRPr="00C97FE3">
        <w:rPr>
          <w:rStyle w:val="FootnoteReference"/>
          <w:color w:val="auto"/>
        </w:rPr>
        <w:footnoteRef/>
      </w:r>
      <w:r w:rsidRPr="00C97FE3">
        <w:rPr>
          <w:color w:val="auto"/>
        </w:rPr>
        <w:t xml:space="preserve"> Industry Capability Network, </w:t>
      </w:r>
      <w:hyperlink r:id="rId12" w:history="1">
        <w:r w:rsidRPr="00332EBE">
          <w:rPr>
            <w:rStyle w:val="Hyperlink"/>
          </w:rPr>
          <w:t>Who Are We and What do we do? - Industry Capability Network | ICN</w:t>
        </w:r>
      </w:hyperlink>
      <w:r w:rsidRPr="00332EBE">
        <w:rPr>
          <w:color w:val="002C6F" w:themeColor="text2"/>
        </w:rPr>
        <w:t>.</w:t>
      </w:r>
    </w:p>
  </w:footnote>
  <w:footnote w:id="22">
    <w:p w14:paraId="547D338D" w14:textId="62D3056D" w:rsidR="00B16B49" w:rsidRDefault="00B16B49" w:rsidP="00CA72E5">
      <w:pPr>
        <w:pStyle w:val="FootnoteText"/>
      </w:pPr>
      <w:r w:rsidRPr="00C97FE3">
        <w:rPr>
          <w:rStyle w:val="FootnoteReference"/>
          <w:color w:val="auto"/>
        </w:rPr>
        <w:footnoteRef/>
      </w:r>
      <w:r w:rsidRPr="00C97FE3">
        <w:rPr>
          <w:color w:val="auto"/>
        </w:rPr>
        <w:t xml:space="preserve"> The program could build on the information already available through the National Renewable Energy Priority List which has a focus on transmission and generation and storage projects. </w:t>
      </w:r>
      <w:r w:rsidR="00FA02CB">
        <w:rPr>
          <w:color w:val="auto"/>
        </w:rPr>
        <w:t xml:space="preserve">See, Department of Climate Change, Energy, the Environment and Water </w:t>
      </w:r>
      <w:hyperlink r:id="rId13" w:history="1">
        <w:r w:rsidRPr="00332EBE">
          <w:rPr>
            <w:rStyle w:val="Hyperlink"/>
          </w:rPr>
          <w:t>National Renewable Energy Priority List - DCCEEW</w:t>
        </w:r>
      </w:hyperlink>
      <w:r w:rsidR="00FA02CB">
        <w:rPr>
          <w:color w:val="002C6F" w:themeColor="text2"/>
        </w:rPr>
        <w:t xml:space="preserve">, </w:t>
      </w:r>
      <w:r w:rsidR="00FA02CB" w:rsidRPr="00FA02CB">
        <w:rPr>
          <w:color w:val="auto"/>
        </w:rPr>
        <w:t>accessed 18 July 2025.</w:t>
      </w:r>
    </w:p>
  </w:footnote>
  <w:footnote w:id="23">
    <w:p w14:paraId="622F7938" w14:textId="77777777" w:rsidR="00B16B49" w:rsidRDefault="00B16B49" w:rsidP="00CA72E5">
      <w:pPr>
        <w:pStyle w:val="FootnoteText"/>
      </w:pPr>
      <w:r w:rsidRPr="0059237F">
        <w:rPr>
          <w:rStyle w:val="FootnoteReference"/>
        </w:rPr>
        <w:footnoteRef/>
      </w:r>
      <w:r w:rsidRPr="0059237F">
        <w:t xml:space="preserve"> The Clean Energy Council 2025 report shows that the average project completion time from financial commitment to commissioning is 20 months for large scale solar, 26 months for large scale wind and 21 months for large scale battery storage.</w:t>
      </w:r>
    </w:p>
  </w:footnote>
  <w:footnote w:id="24">
    <w:p w14:paraId="524A40BE" w14:textId="711E020A" w:rsidR="00B16B49" w:rsidRDefault="00B16B49" w:rsidP="00CA72E5">
      <w:pPr>
        <w:pStyle w:val="FootnoteText"/>
      </w:pPr>
      <w:r>
        <w:rPr>
          <w:rStyle w:val="FootnoteReference"/>
        </w:rPr>
        <w:footnoteRef/>
      </w:r>
      <w:r w:rsidR="00FA02CB">
        <w:t xml:space="preserve"> Herbert Smith Freehills and Clean Energy Investor Group</w:t>
      </w:r>
      <w:r>
        <w:t xml:space="preserve"> </w:t>
      </w:r>
      <w:hyperlink r:id="rId14" w:history="1">
        <w:r>
          <w:rPr>
            <w:rStyle w:val="Hyperlink"/>
          </w:rPr>
          <w:t>HSF-_-CEIG-Report-Delivering-major-clean-energy-projects-in-QLD-and-VIC.pdf</w:t>
        </w:r>
      </w:hyperlink>
      <w:r>
        <w:t xml:space="preserve">; </w:t>
      </w:r>
      <w:hyperlink r:id="rId15" w:history="1">
        <w:r w:rsidR="007644EB">
          <w:rPr>
            <w:rStyle w:val="Hyperlink"/>
          </w:rPr>
          <w:t>HSF x CEIG EPBC Act Report (v5 - Clean)</w:t>
        </w:r>
      </w:hyperlink>
      <w:r>
        <w:t>;</w:t>
      </w:r>
      <w:r w:rsidRPr="00714846">
        <w:t xml:space="preserve"> </w:t>
      </w:r>
      <w:hyperlink r:id="rId16" w:history="1">
        <w:r>
          <w:rPr>
            <w:rStyle w:val="Hyperlink"/>
          </w:rPr>
          <w:t>2025-Clean-Energy-Outlook_CEIG-Annual-Member-Survey-Results-2.pdf</w:t>
        </w:r>
      </w:hyperlink>
      <w:r>
        <w:t xml:space="preserve">. </w:t>
      </w:r>
    </w:p>
  </w:footnote>
  <w:footnote w:id="25">
    <w:p w14:paraId="05A2AC58" w14:textId="4119D3F8" w:rsidR="00B16B49" w:rsidRDefault="00B16B49" w:rsidP="00CA72E5">
      <w:pPr>
        <w:pStyle w:val="FootnoteText"/>
      </w:pPr>
      <w:r>
        <w:rPr>
          <w:rStyle w:val="FootnoteReference"/>
        </w:rPr>
        <w:footnoteRef/>
      </w:r>
      <w:r>
        <w:t xml:space="preserve"> </w:t>
      </w:r>
      <w:r w:rsidR="00FA02CB">
        <w:t xml:space="preserve">Australian Government, </w:t>
      </w:r>
      <w:hyperlink r:id="rId17" w:history="1">
        <w:r w:rsidR="00FA02CB" w:rsidRPr="00020D11">
          <w:rPr>
            <w:rStyle w:val="Hyperlink"/>
          </w:rPr>
          <w:t>Major Projects Facilitation Agency Fact Sheets</w:t>
        </w:r>
      </w:hyperlink>
      <w:r w:rsidR="00FA02CB">
        <w:t>.</w:t>
      </w:r>
    </w:p>
  </w:footnote>
  <w:footnote w:id="26">
    <w:p w14:paraId="4CBA4DFC" w14:textId="10120268" w:rsidR="00B16B49" w:rsidRDefault="00B16B49" w:rsidP="00CA72E5">
      <w:pPr>
        <w:pStyle w:val="FootnoteText"/>
      </w:pPr>
      <w:r>
        <w:rPr>
          <w:rStyle w:val="FootnoteReference"/>
        </w:rPr>
        <w:footnoteRef/>
      </w:r>
      <w:r>
        <w:t xml:space="preserve"> Under the </w:t>
      </w:r>
      <w:r w:rsidR="007358CE" w:rsidRPr="00FA02CB">
        <w:rPr>
          <w:i/>
        </w:rPr>
        <w:t>Environment Protection and Biodiversity Conservation Act 1999</w:t>
      </w:r>
      <w:r w:rsidR="007358CE">
        <w:t xml:space="preserve"> (</w:t>
      </w:r>
      <w:r>
        <w:t>EPBC Act</w:t>
      </w:r>
      <w:r w:rsidR="007358CE">
        <w:t>)</w:t>
      </w:r>
      <w:r>
        <w:t>, landowners, developers, companies, individuals and governments must seek Commonwealth approval for proposed actions that might have a significant impact on MNES. After receiving a valid referral, the minister or their delegate has 20 business days to decide whether the proposed action triggers the MNES protected by the EPBC Act. The Department of Climate Change, Energy, the Environment and Water, 2023-24 Annual Report outlines that 86% (referral and approval decisions) and 85% (assessment decisions) related to the</w:t>
      </w:r>
      <w:r w:rsidRPr="00181978">
        <w:t xml:space="preserve"> </w:t>
      </w:r>
      <w:r w:rsidR="007358CE">
        <w:t xml:space="preserve">EPBC Act </w:t>
      </w:r>
      <w:r>
        <w:t>m</w:t>
      </w:r>
      <w:r w:rsidRPr="00181978">
        <w:t>et statutory timeframes.</w:t>
      </w:r>
      <w:r w:rsidR="00FA02CB">
        <w:t xml:space="preserve"> See Department of Climate Change, Energy, the Environment and Water (DCCEEW), 2023-24 Annual Report, DCCEEW, Australian Government, 2024.</w:t>
      </w:r>
    </w:p>
  </w:footnote>
  <w:footnote w:id="27">
    <w:p w14:paraId="224EA839" w14:textId="77777777" w:rsidR="00B16B49" w:rsidRDefault="00B16B49" w:rsidP="00CA72E5">
      <w:pPr>
        <w:pStyle w:val="FootnoteText"/>
      </w:pPr>
      <w:r>
        <w:rPr>
          <w:rStyle w:val="FootnoteReference"/>
        </w:rPr>
        <w:footnoteRef/>
      </w:r>
      <w:r>
        <w:t xml:space="preserve"> The Queensland Renewable Energy Council highlights in its EPBC assessment and approval fact sheet that depending on the environmental impact assessment process, referral, assessment and approval of an action under the EPBC Act can take between 18 months to 3 years. Available at: </w:t>
      </w:r>
      <w:hyperlink r:id="rId18" w:history="1">
        <w:r w:rsidRPr="00A0132D">
          <w:rPr>
            <w:rStyle w:val="Hyperlink"/>
          </w:rPr>
          <w:t>https://qrec.org.au/wp-content/uploads/2024/02/ProjectPathway_CommonwealthApprovalProcess.pdf</w:t>
        </w:r>
      </w:hyperlink>
      <w:r>
        <w:t>.</w:t>
      </w:r>
    </w:p>
  </w:footnote>
  <w:footnote w:id="28">
    <w:p w14:paraId="3E9846DC" w14:textId="398B2C8E" w:rsidR="00B16B49" w:rsidRDefault="00B16B49" w:rsidP="00CA72E5">
      <w:pPr>
        <w:pStyle w:val="FootnoteText"/>
      </w:pPr>
      <w:r>
        <w:rPr>
          <w:rStyle w:val="FootnoteReference"/>
        </w:rPr>
        <w:footnoteRef/>
      </w:r>
      <w:r>
        <w:t xml:space="preserve"> </w:t>
      </w:r>
      <w:r w:rsidR="00FA02CB">
        <w:t xml:space="preserve">The Treasury, </w:t>
      </w:r>
      <w:hyperlink r:id="rId19" w:history="1">
        <w:r w:rsidR="00FA02CB" w:rsidRPr="009B312D">
          <w:rPr>
            <w:rStyle w:val="Hyperlink"/>
          </w:rPr>
          <w:t>Monetary thresholds | Foreign investment in Australia</w:t>
        </w:r>
      </w:hyperlink>
      <w:r w:rsidR="00FA02CB">
        <w:t>, accessed 21 July 2025.</w:t>
      </w:r>
    </w:p>
  </w:footnote>
  <w:footnote w:id="29">
    <w:p w14:paraId="72E32994" w14:textId="652BE2FA" w:rsidR="00B16B49" w:rsidRDefault="00B16B49" w:rsidP="00CA72E5">
      <w:pPr>
        <w:pStyle w:val="FootnoteText"/>
      </w:pPr>
      <w:r>
        <w:rPr>
          <w:rStyle w:val="FootnoteReference"/>
        </w:rPr>
        <w:footnoteRef/>
      </w:r>
      <w:r>
        <w:t xml:space="preserve"> The 2025 NEM Connection Scorecard provides statistics on the timeframes for applications, registration and full output. </w:t>
      </w:r>
      <w:r w:rsidR="00FA02CB">
        <w:t xml:space="preserve">See AEMO, 2024-25 NEM Connection Scorecard – Mar 2025. </w:t>
      </w:r>
      <w:r>
        <w:t xml:space="preserve">Available at: </w:t>
      </w:r>
      <w:hyperlink r:id="rId20" w:history="1">
        <w:r>
          <w:rPr>
            <w:rStyle w:val="Hyperlink"/>
          </w:rPr>
          <w:t>march-2025.pdf</w:t>
        </w:r>
      </w:hyperlink>
    </w:p>
  </w:footnote>
  <w:footnote w:id="30">
    <w:p w14:paraId="0FBF13CC" w14:textId="77777777" w:rsidR="00B16B49" w:rsidRDefault="00B16B49" w:rsidP="00CA72E5">
      <w:pPr>
        <w:pStyle w:val="FootnoteText"/>
      </w:pPr>
      <w:r>
        <w:rPr>
          <w:rStyle w:val="FootnoteReference"/>
        </w:rPr>
        <w:footnoteRef/>
      </w:r>
      <w:r>
        <w:t xml:space="preserve"> The Australian Energy Market Commission (AEMC) has finalised a comprehensive overhaul of the technical requirements for connecting to the national electricity grid.</w:t>
      </w:r>
      <w:r w:rsidRPr="00D644F4">
        <w:t xml:space="preserve"> The finalised Package 1 reforms will commence on 21 August 2025, with transitional provisions to minimise disruptions to ongoing connection applications.</w:t>
      </w:r>
    </w:p>
  </w:footnote>
  <w:footnote w:id="31">
    <w:p w14:paraId="3067247E" w14:textId="6A5DF5FB" w:rsidR="00B16B49" w:rsidRDefault="00B16B49" w:rsidP="00CA72E5">
      <w:pPr>
        <w:pStyle w:val="FootnoteText"/>
      </w:pPr>
      <w:r>
        <w:rPr>
          <w:rStyle w:val="FootnoteReference"/>
        </w:rPr>
        <w:footnoteRef/>
      </w:r>
      <w:r>
        <w:t xml:space="preserve"> </w:t>
      </w:r>
      <w:proofErr w:type="spellStart"/>
      <w:r w:rsidR="00FA02CB">
        <w:t>Noordzeeloket</w:t>
      </w:r>
      <w:proofErr w:type="spellEnd"/>
      <w:r w:rsidR="00FA02CB">
        <w:t xml:space="preserve">, </w:t>
      </w:r>
      <w:hyperlink r:id="rId21" w:history="1">
        <w:r w:rsidR="00FA02CB" w:rsidRPr="009B312D">
          <w:rPr>
            <w:rStyle w:val="Hyperlink"/>
          </w:rPr>
          <w:t>Preparatory Work for Windfarms</w:t>
        </w:r>
      </w:hyperlink>
      <w:r w:rsidR="00FA02CB">
        <w:t xml:space="preserve">, accessed 18 July 2025.  </w:t>
      </w:r>
    </w:p>
    <w:p w14:paraId="7FEFD621" w14:textId="77777777" w:rsidR="00B16B49" w:rsidRDefault="00B16B49" w:rsidP="00CA72E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12A01" w14:textId="4357C6C0" w:rsidR="00B16B49" w:rsidRPr="00AC4B47" w:rsidRDefault="00F124B2" w:rsidP="00636C34">
    <w:pPr>
      <w:pStyle w:val="Header"/>
      <w:jc w:val="center"/>
      <w:rPr>
        <w:caps/>
        <w:color w:val="FF0000"/>
        <w:sz w:val="16"/>
        <w:szCs w:val="16"/>
      </w:rPr>
    </w:pPr>
    <w:sdt>
      <w:sdtPr>
        <w:rPr>
          <w:caps/>
          <w:color w:val="FF0000"/>
          <w:sz w:val="16"/>
          <w:szCs w:val="16"/>
        </w:rPr>
        <w:alias w:val="Classification"/>
        <w:tag w:val="Classification"/>
        <w:id w:val="-1108812684"/>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sdtContent>
        <w:r w:rsidR="00B16B49">
          <w:rPr>
            <w:caps/>
            <w:color w:val="FF0000"/>
            <w:sz w:val="16"/>
            <w:szCs w:val="16"/>
          </w:rPr>
          <w:t>Official</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CellMar>
        <w:left w:w="0" w:type="dxa"/>
        <w:right w:w="0" w:type="dxa"/>
      </w:tblCellMar>
      <w:tblLook w:val="04A0" w:firstRow="1" w:lastRow="0" w:firstColumn="1" w:lastColumn="0" w:noHBand="0" w:noVBand="1"/>
    </w:tblPr>
    <w:tblGrid>
      <w:gridCol w:w="5046"/>
      <w:gridCol w:w="5047"/>
    </w:tblGrid>
    <w:tr w:rsidR="00B16B49" w14:paraId="015C5FA7" w14:textId="77777777" w:rsidTr="38268D4F">
      <w:tc>
        <w:tcPr>
          <w:tcW w:w="4195" w:type="dxa"/>
          <w:vAlign w:val="bottom"/>
        </w:tcPr>
        <w:p w14:paraId="3656B9AB" w14:textId="42B7806E" w:rsidR="00B16B49" w:rsidRPr="0090200C" w:rsidRDefault="00B16B49" w:rsidP="003C3199">
          <w:pPr>
            <w:pStyle w:val="NoSpacing"/>
            <w:rPr>
              <w:b/>
              <w:bCs/>
            </w:rPr>
          </w:pPr>
          <w:r>
            <w:rPr>
              <w:b/>
              <w:bCs/>
              <w:noProof/>
              <w:lang w:eastAsia="en-AU"/>
            </w:rPr>
            <w:drawing>
              <wp:inline distT="0" distB="0" distL="0" distR="0" wp14:anchorId="14C6E730" wp14:editId="671ED4EA">
                <wp:extent cx="2041200" cy="486000"/>
                <wp:effectExtent l="0" t="0" r="0" b="9525"/>
                <wp:docPr id="11" name="Picture 11" descr="The logo of the Australian Government alongside the logo of the Net Zero Economy Authority.&#10;" title="Australian Government and Net Zero Economy Authority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EA_Logo_RGB_Master_Lockup_L.png"/>
                        <pic:cNvPicPr/>
                      </pic:nvPicPr>
                      <pic:blipFill rotWithShape="1">
                        <a:blip r:embed="rId1">
                          <a:extLst>
                            <a:ext uri="{28A0092B-C50C-407E-A947-70E740481C1C}">
                              <a14:useLocalDpi xmlns:a14="http://schemas.microsoft.com/office/drawing/2010/main" val="0"/>
                            </a:ext>
                          </a:extLst>
                        </a:blip>
                        <a:srcRect l="6734" t="19848" r="6924" b="20434"/>
                        <a:stretch/>
                      </pic:blipFill>
                      <pic:spPr bwMode="auto">
                        <a:xfrm>
                          <a:off x="0" y="0"/>
                          <a:ext cx="2041200" cy="486000"/>
                        </a:xfrm>
                        <a:prstGeom prst="rect">
                          <a:avLst/>
                        </a:prstGeom>
                        <a:ln>
                          <a:noFill/>
                        </a:ln>
                        <a:extLst>
                          <a:ext uri="{53640926-AAD7-44D8-BBD7-CCE9431645EC}">
                            <a14:shadowObscured xmlns:a14="http://schemas.microsoft.com/office/drawing/2010/main"/>
                          </a:ext>
                        </a:extLst>
                      </pic:spPr>
                    </pic:pic>
                  </a:graphicData>
                </a:graphic>
              </wp:inline>
            </w:drawing>
          </w:r>
        </w:p>
      </w:tc>
      <w:tc>
        <w:tcPr>
          <w:tcW w:w="4196" w:type="dxa"/>
          <w:vAlign w:val="bottom"/>
        </w:tcPr>
        <w:p w14:paraId="1315A215" w14:textId="69917FF9" w:rsidR="00B16B49" w:rsidRPr="00091C65" w:rsidRDefault="00B16B49" w:rsidP="002C5058">
          <w:pPr>
            <w:pStyle w:val="Date"/>
            <w:rPr>
              <w:highlight w:val="yellow"/>
            </w:rPr>
          </w:pPr>
          <w:r w:rsidRPr="00091C65">
            <w:rPr>
              <w:highlight w:val="yellow"/>
            </w:rPr>
            <w:br/>
          </w:r>
          <w:r w:rsidRPr="00091C65">
            <w:rPr>
              <w:highlight w:val="yellow"/>
            </w:rPr>
            <w:br/>
          </w:r>
        </w:p>
      </w:tc>
    </w:tr>
    <w:tr w:rsidR="00B16B49" w14:paraId="0F9AF62B" w14:textId="77777777" w:rsidTr="38268D4F">
      <w:trPr>
        <w:trHeight w:hRule="exact" w:val="851"/>
      </w:trPr>
      <w:tc>
        <w:tcPr>
          <w:tcW w:w="8391" w:type="dxa"/>
          <w:gridSpan w:val="2"/>
          <w:tcMar>
            <w:bottom w:w="142" w:type="dxa"/>
          </w:tcMar>
          <w:vAlign w:val="bottom"/>
        </w:tcPr>
        <w:p w14:paraId="29F76327" w14:textId="56B1982B" w:rsidR="00B16B49" w:rsidRPr="0090200C" w:rsidRDefault="00B16B49" w:rsidP="003C3199">
          <w:pPr>
            <w:pStyle w:val="Header"/>
            <w:ind w:right="0"/>
            <w:jc w:val="center"/>
            <w:rPr>
              <w:caps/>
              <w:color w:val="FF0000"/>
              <w:sz w:val="16"/>
              <w:szCs w:val="16"/>
            </w:rPr>
          </w:pPr>
          <w:r>
            <w:rPr>
              <w:caps/>
              <w:color w:val="FF0000"/>
              <w:sz w:val="16"/>
              <w:szCs w:val="16"/>
            </w:rPr>
            <w:br/>
          </w:r>
          <w:sdt>
            <w:sdtPr>
              <w:rPr>
                <w:caps/>
                <w:color w:val="FF0000"/>
                <w:sz w:val="16"/>
                <w:szCs w:val="16"/>
              </w:rPr>
              <w:alias w:val="Classification"/>
              <w:tag w:val="Classification"/>
              <w:id w:val="1762559656"/>
              <w15:color w:val="FF0000"/>
              <w:dropDownList>
                <w:listItem w:displayText="Classification" w:value="1"/>
                <w:listItem w:displayText="Official" w:value="2"/>
                <w:listItem w:displayText="Official: Sensitive" w:value="3"/>
                <w:listItem w:displayText="Protected" w:value="4"/>
                <w:listItem w:displayText="Protected: Cabinet" w:value="7"/>
                <w:listItem w:displayText="Secret" w:value="5"/>
                <w:listItem w:displayText="Top Secret and Codeword" w:value="6"/>
              </w:dropDownList>
            </w:sdtPr>
            <w:sdtEndPr/>
            <w:sdtContent>
              <w:r>
                <w:rPr>
                  <w:caps/>
                  <w:color w:val="FF0000"/>
                  <w:sz w:val="16"/>
                  <w:szCs w:val="16"/>
                </w:rPr>
                <w:t>Official</w:t>
              </w:r>
            </w:sdtContent>
          </w:sdt>
        </w:p>
      </w:tc>
    </w:tr>
  </w:tbl>
  <w:p w14:paraId="37E7CCC8" w14:textId="075503B1" w:rsidR="00B16B49" w:rsidRPr="008C074F" w:rsidRDefault="00B16B49" w:rsidP="0050379A">
    <w:pPr>
      <w:pStyle w:val="Head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4CE7"/>
    <w:multiLevelType w:val="hybridMultilevel"/>
    <w:tmpl w:val="3FDAF6D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526783F"/>
    <w:multiLevelType w:val="multilevel"/>
    <w:tmpl w:val="CD7A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45240"/>
    <w:multiLevelType w:val="hybridMultilevel"/>
    <w:tmpl w:val="3314E7D6"/>
    <w:lvl w:ilvl="0" w:tplc="26FE68C8">
      <w:start w:val="1"/>
      <w:numFmt w:val="decimal"/>
      <w:lvlText w:val="%1."/>
      <w:lvlJc w:val="left"/>
      <w:pPr>
        <w:ind w:left="1080" w:hanging="360"/>
      </w:pPr>
    </w:lvl>
    <w:lvl w:ilvl="1" w:tplc="6136B60A" w:tentative="1">
      <w:start w:val="1"/>
      <w:numFmt w:val="lowerLetter"/>
      <w:lvlText w:val="%2."/>
      <w:lvlJc w:val="left"/>
      <w:pPr>
        <w:ind w:left="1800" w:hanging="360"/>
      </w:pPr>
    </w:lvl>
    <w:lvl w:ilvl="2" w:tplc="15081D2E" w:tentative="1">
      <w:start w:val="1"/>
      <w:numFmt w:val="lowerRoman"/>
      <w:lvlText w:val="%3."/>
      <w:lvlJc w:val="right"/>
      <w:pPr>
        <w:ind w:left="2520" w:hanging="180"/>
      </w:pPr>
    </w:lvl>
    <w:lvl w:ilvl="3" w:tplc="D890A8B8" w:tentative="1">
      <w:start w:val="1"/>
      <w:numFmt w:val="decimal"/>
      <w:lvlText w:val="%4."/>
      <w:lvlJc w:val="left"/>
      <w:pPr>
        <w:ind w:left="3240" w:hanging="360"/>
      </w:pPr>
    </w:lvl>
    <w:lvl w:ilvl="4" w:tplc="4540F848" w:tentative="1">
      <w:start w:val="1"/>
      <w:numFmt w:val="lowerLetter"/>
      <w:lvlText w:val="%5."/>
      <w:lvlJc w:val="left"/>
      <w:pPr>
        <w:ind w:left="3960" w:hanging="360"/>
      </w:pPr>
    </w:lvl>
    <w:lvl w:ilvl="5" w:tplc="A908266E" w:tentative="1">
      <w:start w:val="1"/>
      <w:numFmt w:val="lowerRoman"/>
      <w:lvlText w:val="%6."/>
      <w:lvlJc w:val="right"/>
      <w:pPr>
        <w:ind w:left="4680" w:hanging="180"/>
      </w:pPr>
    </w:lvl>
    <w:lvl w:ilvl="6" w:tplc="B6209910" w:tentative="1">
      <w:start w:val="1"/>
      <w:numFmt w:val="decimal"/>
      <w:lvlText w:val="%7."/>
      <w:lvlJc w:val="left"/>
      <w:pPr>
        <w:ind w:left="5400" w:hanging="360"/>
      </w:pPr>
    </w:lvl>
    <w:lvl w:ilvl="7" w:tplc="6088B95A" w:tentative="1">
      <w:start w:val="1"/>
      <w:numFmt w:val="lowerLetter"/>
      <w:lvlText w:val="%8."/>
      <w:lvlJc w:val="left"/>
      <w:pPr>
        <w:ind w:left="6120" w:hanging="360"/>
      </w:pPr>
    </w:lvl>
    <w:lvl w:ilvl="8" w:tplc="5FDE353C" w:tentative="1">
      <w:start w:val="1"/>
      <w:numFmt w:val="lowerRoman"/>
      <w:lvlText w:val="%9."/>
      <w:lvlJc w:val="right"/>
      <w:pPr>
        <w:ind w:left="6840" w:hanging="180"/>
      </w:pPr>
    </w:lvl>
  </w:abstractNum>
  <w:abstractNum w:abstractNumId="3" w15:restartNumberingAfterBreak="0">
    <w:nsid w:val="21586022"/>
    <w:multiLevelType w:val="hybridMultilevel"/>
    <w:tmpl w:val="9C6670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F77E30"/>
    <w:multiLevelType w:val="multilevel"/>
    <w:tmpl w:val="F3AA75CA"/>
    <w:lvl w:ilvl="0">
      <w:start w:val="1"/>
      <w:numFmt w:val="lowerLetter"/>
      <w:pStyle w:val="List"/>
      <w:lvlText w:val="%1."/>
      <w:lvlJc w:val="left"/>
      <w:pPr>
        <w:ind w:left="360" w:hanging="360"/>
      </w:pPr>
      <w:rPr>
        <w:b/>
        <w:i w:val="0"/>
        <w:color w:val="auto"/>
        <w:sz w:val="20"/>
      </w:rPr>
    </w:lvl>
    <w:lvl w:ilvl="1">
      <w:start w:val="1"/>
      <w:numFmt w:val="lowerRoman"/>
      <w:lvlText w:val="%2."/>
      <w:lvlJc w:val="left"/>
      <w:pPr>
        <w:ind w:left="720" w:hanging="360"/>
      </w:pPr>
      <w:rPr>
        <w:b/>
        <w:i w:val="0"/>
        <w:color w:val="auto"/>
        <w:sz w:val="20"/>
      </w:rPr>
    </w:lvl>
    <w:lvl w:ilvl="2">
      <w:start w:val="1"/>
      <w:numFmt w:val="upperLetter"/>
      <w:lvlText w:val="%3."/>
      <w:lvlJc w:val="left"/>
      <w:pPr>
        <w:ind w:left="1080" w:hanging="360"/>
      </w:pPr>
      <w:rPr>
        <w:b/>
        <w:i w:val="0"/>
        <w:color w:val="auto"/>
        <w:sz w:val="20"/>
      </w:rPr>
    </w:lvl>
    <w:lvl w:ilvl="3">
      <w:start w:val="1"/>
      <w:numFmt w:val="lowerLetter"/>
      <w:lvlText w:val="(%4)"/>
      <w:lvlJc w:val="left"/>
      <w:pPr>
        <w:ind w:left="1440" w:hanging="360"/>
      </w:pPr>
      <w:rPr>
        <w:color w:val="auto"/>
      </w:rPr>
    </w:lvl>
    <w:lvl w:ilvl="4">
      <w:start w:val="1"/>
      <w:numFmt w:val="lowerRoman"/>
      <w:lvlText w:val="(%5)"/>
      <w:lvlJc w:val="left"/>
      <w:pPr>
        <w:ind w:left="1800" w:hanging="360"/>
      </w:pPr>
      <w:rPr>
        <w:color w:val="auto"/>
      </w:rPr>
    </w:lvl>
    <w:lvl w:ilvl="5">
      <w:start w:val="1"/>
      <w:numFmt w:val="upperLetter"/>
      <w:lvlText w:val="(%6)"/>
      <w:lvlJc w:val="left"/>
      <w:pPr>
        <w:ind w:left="2160" w:hanging="360"/>
      </w:pPr>
      <w:rPr>
        <w:color w:val="auto"/>
      </w:rPr>
    </w:lvl>
    <w:lvl w:ilvl="6">
      <w:start w:val="1"/>
      <w:numFmt w:val="lowerLetter"/>
      <w:lvlText w:val="%7."/>
      <w:lvlJc w:val="left"/>
      <w:pPr>
        <w:ind w:left="2520" w:hanging="360"/>
      </w:pPr>
      <w:rPr>
        <w:color w:val="auto"/>
      </w:rPr>
    </w:lvl>
    <w:lvl w:ilvl="7">
      <w:start w:val="1"/>
      <w:numFmt w:val="lowerRoman"/>
      <w:lvlText w:val="%8."/>
      <w:lvlJc w:val="left"/>
      <w:pPr>
        <w:ind w:left="2880" w:hanging="360"/>
      </w:pPr>
      <w:rPr>
        <w:color w:val="auto"/>
      </w:rPr>
    </w:lvl>
    <w:lvl w:ilvl="8">
      <w:start w:val="1"/>
      <w:numFmt w:val="upperLetter"/>
      <w:lvlText w:val="%9."/>
      <w:lvlJc w:val="left"/>
      <w:pPr>
        <w:ind w:left="3240" w:hanging="360"/>
      </w:pPr>
      <w:rPr>
        <w:color w:val="auto"/>
      </w:rPr>
    </w:lvl>
  </w:abstractNum>
  <w:abstractNum w:abstractNumId="5" w15:restartNumberingAfterBreak="0">
    <w:nsid w:val="2D0C629F"/>
    <w:multiLevelType w:val="hybridMultilevel"/>
    <w:tmpl w:val="8D823B9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C56588"/>
    <w:multiLevelType w:val="multilevel"/>
    <w:tmpl w:val="C5469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4F2502"/>
    <w:multiLevelType w:val="hybridMultilevel"/>
    <w:tmpl w:val="1DF00428"/>
    <w:lvl w:ilvl="0" w:tplc="897E0D9E">
      <w:start w:val="1"/>
      <w:numFmt w:val="bullet"/>
      <w:lvlText w:val=""/>
      <w:lvlJc w:val="left"/>
      <w:pPr>
        <w:ind w:left="720" w:hanging="360"/>
      </w:pPr>
      <w:rPr>
        <w:rFonts w:ascii="Symbol" w:hAnsi="Symbol" w:hint="default"/>
      </w:rPr>
    </w:lvl>
    <w:lvl w:ilvl="1" w:tplc="C352B724">
      <w:start w:val="1"/>
      <w:numFmt w:val="bullet"/>
      <w:lvlText w:val="­"/>
      <w:lvlJc w:val="left"/>
      <w:pPr>
        <w:ind w:left="1440" w:hanging="360"/>
      </w:pPr>
      <w:rPr>
        <w:rFonts w:ascii="Courier New" w:hAnsi="Courier New" w:hint="default"/>
      </w:rPr>
    </w:lvl>
    <w:lvl w:ilvl="2" w:tplc="9110AF6A" w:tentative="1">
      <w:start w:val="1"/>
      <w:numFmt w:val="bullet"/>
      <w:lvlText w:val=""/>
      <w:lvlJc w:val="left"/>
      <w:pPr>
        <w:ind w:left="2160" w:hanging="360"/>
      </w:pPr>
      <w:rPr>
        <w:rFonts w:ascii="Wingdings" w:hAnsi="Wingdings" w:hint="default"/>
      </w:rPr>
    </w:lvl>
    <w:lvl w:ilvl="3" w:tplc="1ED06B28" w:tentative="1">
      <w:start w:val="1"/>
      <w:numFmt w:val="bullet"/>
      <w:lvlText w:val=""/>
      <w:lvlJc w:val="left"/>
      <w:pPr>
        <w:ind w:left="2880" w:hanging="360"/>
      </w:pPr>
      <w:rPr>
        <w:rFonts w:ascii="Symbol" w:hAnsi="Symbol" w:hint="default"/>
      </w:rPr>
    </w:lvl>
    <w:lvl w:ilvl="4" w:tplc="7FFC7AE8" w:tentative="1">
      <w:start w:val="1"/>
      <w:numFmt w:val="bullet"/>
      <w:lvlText w:val="o"/>
      <w:lvlJc w:val="left"/>
      <w:pPr>
        <w:ind w:left="3600" w:hanging="360"/>
      </w:pPr>
      <w:rPr>
        <w:rFonts w:ascii="Courier New" w:hAnsi="Courier New" w:hint="default"/>
      </w:rPr>
    </w:lvl>
    <w:lvl w:ilvl="5" w:tplc="75B0413E" w:tentative="1">
      <w:start w:val="1"/>
      <w:numFmt w:val="bullet"/>
      <w:lvlText w:val=""/>
      <w:lvlJc w:val="left"/>
      <w:pPr>
        <w:ind w:left="4320" w:hanging="360"/>
      </w:pPr>
      <w:rPr>
        <w:rFonts w:ascii="Wingdings" w:hAnsi="Wingdings" w:hint="default"/>
      </w:rPr>
    </w:lvl>
    <w:lvl w:ilvl="6" w:tplc="66984FF4" w:tentative="1">
      <w:start w:val="1"/>
      <w:numFmt w:val="bullet"/>
      <w:lvlText w:val=""/>
      <w:lvlJc w:val="left"/>
      <w:pPr>
        <w:ind w:left="5040" w:hanging="360"/>
      </w:pPr>
      <w:rPr>
        <w:rFonts w:ascii="Symbol" w:hAnsi="Symbol" w:hint="default"/>
      </w:rPr>
    </w:lvl>
    <w:lvl w:ilvl="7" w:tplc="AB6CDABE" w:tentative="1">
      <w:start w:val="1"/>
      <w:numFmt w:val="bullet"/>
      <w:lvlText w:val="o"/>
      <w:lvlJc w:val="left"/>
      <w:pPr>
        <w:ind w:left="5760" w:hanging="360"/>
      </w:pPr>
      <w:rPr>
        <w:rFonts w:ascii="Courier New" w:hAnsi="Courier New" w:hint="default"/>
      </w:rPr>
    </w:lvl>
    <w:lvl w:ilvl="8" w:tplc="3C68AEFC" w:tentative="1">
      <w:start w:val="1"/>
      <w:numFmt w:val="bullet"/>
      <w:lvlText w:val=""/>
      <w:lvlJc w:val="left"/>
      <w:pPr>
        <w:ind w:left="6480" w:hanging="360"/>
      </w:pPr>
      <w:rPr>
        <w:rFonts w:ascii="Wingdings" w:hAnsi="Wingdings" w:hint="default"/>
      </w:rPr>
    </w:lvl>
  </w:abstractNum>
  <w:abstractNum w:abstractNumId="8" w15:restartNumberingAfterBreak="0">
    <w:nsid w:val="432A6886"/>
    <w:multiLevelType w:val="hybridMultilevel"/>
    <w:tmpl w:val="5BC4DD16"/>
    <w:lvl w:ilvl="0" w:tplc="0C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40D65B5"/>
    <w:multiLevelType w:val="multilevel"/>
    <w:tmpl w:val="41E07A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040A51"/>
    <w:multiLevelType w:val="hybridMultilevel"/>
    <w:tmpl w:val="BD9EC6B6"/>
    <w:lvl w:ilvl="0" w:tplc="35149448">
      <w:start w:val="1"/>
      <w:numFmt w:val="bullet"/>
      <w:lvlText w:val=""/>
      <w:lvlJc w:val="left"/>
      <w:pPr>
        <w:ind w:left="720" w:hanging="360"/>
      </w:pPr>
      <w:rPr>
        <w:rFonts w:ascii="Symbol" w:hAnsi="Symbol" w:hint="default"/>
      </w:rPr>
    </w:lvl>
    <w:lvl w:ilvl="1" w:tplc="2E62CCC0">
      <w:start w:val="1"/>
      <w:numFmt w:val="bullet"/>
      <w:lvlText w:val="o"/>
      <w:lvlJc w:val="left"/>
      <w:pPr>
        <w:ind w:left="1440" w:hanging="360"/>
      </w:pPr>
      <w:rPr>
        <w:rFonts w:ascii="Courier New" w:hAnsi="Courier New" w:hint="default"/>
      </w:rPr>
    </w:lvl>
    <w:lvl w:ilvl="2" w:tplc="882A4C24">
      <w:start w:val="1"/>
      <w:numFmt w:val="bullet"/>
      <w:lvlText w:val=""/>
      <w:lvlJc w:val="left"/>
      <w:pPr>
        <w:ind w:left="2160" w:hanging="360"/>
      </w:pPr>
      <w:rPr>
        <w:rFonts w:ascii="Wingdings" w:hAnsi="Wingdings" w:hint="default"/>
      </w:rPr>
    </w:lvl>
    <w:lvl w:ilvl="3" w:tplc="8C1A41C8">
      <w:start w:val="1"/>
      <w:numFmt w:val="bullet"/>
      <w:lvlText w:val=""/>
      <w:lvlJc w:val="left"/>
      <w:pPr>
        <w:ind w:left="2880" w:hanging="360"/>
      </w:pPr>
      <w:rPr>
        <w:rFonts w:ascii="Symbol" w:hAnsi="Symbol" w:hint="default"/>
      </w:rPr>
    </w:lvl>
    <w:lvl w:ilvl="4" w:tplc="0534F1AC">
      <w:start w:val="1"/>
      <w:numFmt w:val="bullet"/>
      <w:lvlText w:val="o"/>
      <w:lvlJc w:val="left"/>
      <w:pPr>
        <w:ind w:left="3600" w:hanging="360"/>
      </w:pPr>
      <w:rPr>
        <w:rFonts w:ascii="Courier New" w:hAnsi="Courier New" w:hint="default"/>
      </w:rPr>
    </w:lvl>
    <w:lvl w:ilvl="5" w:tplc="1242E760">
      <w:start w:val="1"/>
      <w:numFmt w:val="bullet"/>
      <w:lvlText w:val=""/>
      <w:lvlJc w:val="left"/>
      <w:pPr>
        <w:ind w:left="4320" w:hanging="360"/>
      </w:pPr>
      <w:rPr>
        <w:rFonts w:ascii="Wingdings" w:hAnsi="Wingdings" w:hint="default"/>
      </w:rPr>
    </w:lvl>
    <w:lvl w:ilvl="6" w:tplc="F732F922">
      <w:start w:val="1"/>
      <w:numFmt w:val="bullet"/>
      <w:lvlText w:val=""/>
      <w:lvlJc w:val="left"/>
      <w:pPr>
        <w:ind w:left="5040" w:hanging="360"/>
      </w:pPr>
      <w:rPr>
        <w:rFonts w:ascii="Symbol" w:hAnsi="Symbol" w:hint="default"/>
      </w:rPr>
    </w:lvl>
    <w:lvl w:ilvl="7" w:tplc="42A665BE">
      <w:start w:val="1"/>
      <w:numFmt w:val="bullet"/>
      <w:lvlText w:val="o"/>
      <w:lvlJc w:val="left"/>
      <w:pPr>
        <w:ind w:left="5760" w:hanging="360"/>
      </w:pPr>
      <w:rPr>
        <w:rFonts w:ascii="Courier New" w:hAnsi="Courier New" w:hint="default"/>
      </w:rPr>
    </w:lvl>
    <w:lvl w:ilvl="8" w:tplc="C1102330">
      <w:start w:val="1"/>
      <w:numFmt w:val="bullet"/>
      <w:lvlText w:val=""/>
      <w:lvlJc w:val="left"/>
      <w:pPr>
        <w:ind w:left="6480" w:hanging="360"/>
      </w:pPr>
      <w:rPr>
        <w:rFonts w:ascii="Wingdings" w:hAnsi="Wingdings" w:hint="default"/>
      </w:rPr>
    </w:lvl>
  </w:abstractNum>
  <w:abstractNum w:abstractNumId="11" w15:restartNumberingAfterBreak="0">
    <w:nsid w:val="4F3C6D63"/>
    <w:multiLevelType w:val="multilevel"/>
    <w:tmpl w:val="5E22C5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D21F24"/>
    <w:multiLevelType w:val="hybridMultilevel"/>
    <w:tmpl w:val="C99631AE"/>
    <w:lvl w:ilvl="0" w:tplc="08BA0E48">
      <w:start w:val="1"/>
      <w:numFmt w:val="decimal"/>
      <w:lvlText w:val="%1."/>
      <w:lvlJc w:val="left"/>
      <w:pPr>
        <w:ind w:left="1080" w:hanging="360"/>
      </w:pPr>
    </w:lvl>
    <w:lvl w:ilvl="1" w:tplc="253EFFCA" w:tentative="1">
      <w:start w:val="1"/>
      <w:numFmt w:val="lowerLetter"/>
      <w:lvlText w:val="%2."/>
      <w:lvlJc w:val="left"/>
      <w:pPr>
        <w:ind w:left="1800" w:hanging="360"/>
      </w:pPr>
    </w:lvl>
    <w:lvl w:ilvl="2" w:tplc="84E84AC4" w:tentative="1">
      <w:start w:val="1"/>
      <w:numFmt w:val="lowerRoman"/>
      <w:lvlText w:val="%3."/>
      <w:lvlJc w:val="right"/>
      <w:pPr>
        <w:ind w:left="2520" w:hanging="180"/>
      </w:pPr>
    </w:lvl>
    <w:lvl w:ilvl="3" w:tplc="C2F814F8" w:tentative="1">
      <w:start w:val="1"/>
      <w:numFmt w:val="decimal"/>
      <w:lvlText w:val="%4."/>
      <w:lvlJc w:val="left"/>
      <w:pPr>
        <w:ind w:left="3240" w:hanging="360"/>
      </w:pPr>
    </w:lvl>
    <w:lvl w:ilvl="4" w:tplc="C2F4C79C" w:tentative="1">
      <w:start w:val="1"/>
      <w:numFmt w:val="lowerLetter"/>
      <w:lvlText w:val="%5."/>
      <w:lvlJc w:val="left"/>
      <w:pPr>
        <w:ind w:left="3960" w:hanging="360"/>
      </w:pPr>
    </w:lvl>
    <w:lvl w:ilvl="5" w:tplc="51CEA72E" w:tentative="1">
      <w:start w:val="1"/>
      <w:numFmt w:val="lowerRoman"/>
      <w:lvlText w:val="%6."/>
      <w:lvlJc w:val="right"/>
      <w:pPr>
        <w:ind w:left="4680" w:hanging="180"/>
      </w:pPr>
    </w:lvl>
    <w:lvl w:ilvl="6" w:tplc="091CC2B2" w:tentative="1">
      <w:start w:val="1"/>
      <w:numFmt w:val="decimal"/>
      <w:lvlText w:val="%7."/>
      <w:lvlJc w:val="left"/>
      <w:pPr>
        <w:ind w:left="5400" w:hanging="360"/>
      </w:pPr>
    </w:lvl>
    <w:lvl w:ilvl="7" w:tplc="ABF42AF6" w:tentative="1">
      <w:start w:val="1"/>
      <w:numFmt w:val="lowerLetter"/>
      <w:lvlText w:val="%8."/>
      <w:lvlJc w:val="left"/>
      <w:pPr>
        <w:ind w:left="6120" w:hanging="360"/>
      </w:pPr>
    </w:lvl>
    <w:lvl w:ilvl="8" w:tplc="8E668946" w:tentative="1">
      <w:start w:val="1"/>
      <w:numFmt w:val="lowerRoman"/>
      <w:lvlText w:val="%9."/>
      <w:lvlJc w:val="right"/>
      <w:pPr>
        <w:ind w:left="6840" w:hanging="180"/>
      </w:pPr>
    </w:lvl>
  </w:abstractNum>
  <w:abstractNum w:abstractNumId="13" w15:restartNumberingAfterBreak="0">
    <w:nsid w:val="5CA90600"/>
    <w:multiLevelType w:val="multilevel"/>
    <w:tmpl w:val="C898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E904C8"/>
    <w:multiLevelType w:val="hybridMultilevel"/>
    <w:tmpl w:val="2D42B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7C2E90"/>
    <w:multiLevelType w:val="multilevel"/>
    <w:tmpl w:val="16B4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265F00"/>
    <w:multiLevelType w:val="hybridMultilevel"/>
    <w:tmpl w:val="8FA08C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1F7723"/>
    <w:multiLevelType w:val="multilevel"/>
    <w:tmpl w:val="F3AE1808"/>
    <w:lvl w:ilvl="0">
      <w:start w:val="1"/>
      <w:numFmt w:val="decimal"/>
      <w:pStyle w:val="Caption"/>
      <w:suff w:val="space"/>
      <w:lvlText w:val="Figure 1.%1"/>
      <w:lvlJc w:val="left"/>
      <w:pPr>
        <w:ind w:left="0" w:firstLine="0"/>
      </w:pPr>
      <w:rPr>
        <w:b/>
        <w:i w:val="0"/>
        <w:color w:val="000000" w:themeColor="text1"/>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1546A7"/>
    <w:multiLevelType w:val="multilevel"/>
    <w:tmpl w:val="6F709864"/>
    <w:lvl w:ilvl="0">
      <w:start w:val="1"/>
      <w:numFmt w:val="decimal"/>
      <w:pStyle w:val="ListNumber"/>
      <w:lvlText w:val="%1."/>
      <w:lvlJc w:val="left"/>
      <w:pPr>
        <w:ind w:left="360" w:hanging="360"/>
      </w:pPr>
      <w:rPr>
        <w:b/>
        <w:i w:val="0"/>
        <w:color w:val="auto"/>
        <w:sz w:val="20"/>
      </w:rPr>
    </w:lvl>
    <w:lvl w:ilvl="1">
      <w:start w:val="1"/>
      <w:numFmt w:val="lowerLetter"/>
      <w:pStyle w:val="ListNumber2"/>
      <w:lvlText w:val="%2."/>
      <w:lvlJc w:val="left"/>
      <w:pPr>
        <w:ind w:left="720" w:hanging="360"/>
      </w:pPr>
      <w:rPr>
        <w:b/>
        <w:i w:val="0"/>
        <w:color w:val="auto"/>
        <w:sz w:val="20"/>
      </w:rPr>
    </w:lvl>
    <w:lvl w:ilvl="2">
      <w:start w:val="1"/>
      <w:numFmt w:val="lowerRoman"/>
      <w:pStyle w:val="ListNumber3"/>
      <w:lvlText w:val="%3."/>
      <w:lvlJc w:val="left"/>
      <w:pPr>
        <w:ind w:left="1080" w:hanging="360"/>
      </w:pPr>
      <w:rPr>
        <w:b/>
        <w:i w:val="0"/>
        <w:color w:val="auto"/>
        <w:sz w:val="20"/>
      </w:rPr>
    </w:lvl>
    <w:lvl w:ilvl="3">
      <w:start w:val="1"/>
      <w:numFmt w:val="decimal"/>
      <w:pStyle w:val="ListNumber4"/>
      <w:lvlText w:val="(%4)"/>
      <w:lvlJc w:val="left"/>
      <w:pPr>
        <w:ind w:left="1440" w:hanging="360"/>
      </w:pPr>
      <w:rPr>
        <w:b/>
        <w:i w:val="0"/>
        <w:color w:val="auto"/>
        <w:sz w:val="20"/>
      </w:rPr>
    </w:lvl>
    <w:lvl w:ilvl="4">
      <w:start w:val="1"/>
      <w:numFmt w:val="lowerLetter"/>
      <w:pStyle w:val="ListNumber5"/>
      <w:lvlText w:val="(%5)"/>
      <w:lvlJc w:val="left"/>
      <w:pPr>
        <w:ind w:left="1800" w:hanging="360"/>
      </w:pPr>
      <w:rPr>
        <w:b/>
        <w:i w:val="0"/>
        <w:color w:val="auto"/>
        <w:sz w:val="20"/>
      </w:rPr>
    </w:lvl>
    <w:lvl w:ilvl="5">
      <w:start w:val="1"/>
      <w:numFmt w:val="lowerRoman"/>
      <w:lvlText w:val="(%6)"/>
      <w:lvlJc w:val="left"/>
      <w:pPr>
        <w:ind w:left="2160" w:hanging="360"/>
      </w:pPr>
      <w:rPr>
        <w:b/>
        <w:i w:val="0"/>
        <w:color w:val="auto"/>
        <w:sz w:val="20"/>
      </w:rPr>
    </w:lvl>
    <w:lvl w:ilvl="6">
      <w:start w:val="1"/>
      <w:numFmt w:val="decimal"/>
      <w:lvlText w:val="%7."/>
      <w:lvlJc w:val="left"/>
      <w:pPr>
        <w:ind w:left="2520" w:hanging="360"/>
      </w:pPr>
      <w:rPr>
        <w:b/>
        <w:i w:val="0"/>
        <w:color w:val="auto"/>
        <w:sz w:val="20"/>
      </w:rPr>
    </w:lvl>
    <w:lvl w:ilvl="7">
      <w:start w:val="1"/>
      <w:numFmt w:val="lowerLetter"/>
      <w:lvlText w:val="%8."/>
      <w:lvlJc w:val="left"/>
      <w:pPr>
        <w:ind w:left="2880" w:hanging="360"/>
      </w:pPr>
      <w:rPr>
        <w:b/>
        <w:i w:val="0"/>
        <w:color w:val="auto"/>
        <w:sz w:val="20"/>
      </w:rPr>
    </w:lvl>
    <w:lvl w:ilvl="8">
      <w:start w:val="1"/>
      <w:numFmt w:val="lowerRoman"/>
      <w:lvlText w:val="%9."/>
      <w:lvlJc w:val="left"/>
      <w:pPr>
        <w:ind w:left="3240" w:hanging="360"/>
      </w:pPr>
      <w:rPr>
        <w:b/>
        <w:i w:val="0"/>
        <w:color w:val="auto"/>
        <w:sz w:val="20"/>
      </w:rPr>
    </w:lvl>
  </w:abstractNum>
  <w:abstractNum w:abstractNumId="19" w15:restartNumberingAfterBreak="0">
    <w:nsid w:val="6A4D4A90"/>
    <w:multiLevelType w:val="hybridMultilevel"/>
    <w:tmpl w:val="7236F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5C6D44"/>
    <w:multiLevelType w:val="multilevel"/>
    <w:tmpl w:val="12B88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2820E2"/>
    <w:multiLevelType w:val="hybridMultilevel"/>
    <w:tmpl w:val="794AA456"/>
    <w:lvl w:ilvl="0" w:tplc="24DE9E90">
      <w:start w:val="1"/>
      <w:numFmt w:val="bullet"/>
      <w:lvlText w:val="o"/>
      <w:lvlJc w:val="left"/>
      <w:pPr>
        <w:ind w:left="1074" w:hanging="360"/>
      </w:pPr>
      <w:rPr>
        <w:rFonts w:ascii="Courier New" w:hAnsi="Courier New" w:hint="default"/>
      </w:rPr>
    </w:lvl>
    <w:lvl w:ilvl="1" w:tplc="93A8143A" w:tentative="1">
      <w:start w:val="1"/>
      <w:numFmt w:val="bullet"/>
      <w:lvlText w:val="o"/>
      <w:lvlJc w:val="left"/>
      <w:pPr>
        <w:ind w:left="1794" w:hanging="360"/>
      </w:pPr>
      <w:rPr>
        <w:rFonts w:ascii="Courier New" w:hAnsi="Courier New" w:hint="default"/>
      </w:rPr>
    </w:lvl>
    <w:lvl w:ilvl="2" w:tplc="3E8CE404" w:tentative="1">
      <w:start w:val="1"/>
      <w:numFmt w:val="bullet"/>
      <w:lvlText w:val=""/>
      <w:lvlJc w:val="left"/>
      <w:pPr>
        <w:ind w:left="2514" w:hanging="360"/>
      </w:pPr>
      <w:rPr>
        <w:rFonts w:ascii="Wingdings" w:hAnsi="Wingdings" w:hint="default"/>
      </w:rPr>
    </w:lvl>
    <w:lvl w:ilvl="3" w:tplc="1714C5FE" w:tentative="1">
      <w:start w:val="1"/>
      <w:numFmt w:val="bullet"/>
      <w:lvlText w:val=""/>
      <w:lvlJc w:val="left"/>
      <w:pPr>
        <w:ind w:left="3234" w:hanging="360"/>
      </w:pPr>
      <w:rPr>
        <w:rFonts w:ascii="Symbol" w:hAnsi="Symbol" w:hint="default"/>
      </w:rPr>
    </w:lvl>
    <w:lvl w:ilvl="4" w:tplc="367448D2" w:tentative="1">
      <w:start w:val="1"/>
      <w:numFmt w:val="bullet"/>
      <w:lvlText w:val="o"/>
      <w:lvlJc w:val="left"/>
      <w:pPr>
        <w:ind w:left="3954" w:hanging="360"/>
      </w:pPr>
      <w:rPr>
        <w:rFonts w:ascii="Courier New" w:hAnsi="Courier New" w:hint="default"/>
      </w:rPr>
    </w:lvl>
    <w:lvl w:ilvl="5" w:tplc="F970CC96" w:tentative="1">
      <w:start w:val="1"/>
      <w:numFmt w:val="bullet"/>
      <w:lvlText w:val=""/>
      <w:lvlJc w:val="left"/>
      <w:pPr>
        <w:ind w:left="4674" w:hanging="360"/>
      </w:pPr>
      <w:rPr>
        <w:rFonts w:ascii="Wingdings" w:hAnsi="Wingdings" w:hint="default"/>
      </w:rPr>
    </w:lvl>
    <w:lvl w:ilvl="6" w:tplc="26C236F4" w:tentative="1">
      <w:start w:val="1"/>
      <w:numFmt w:val="bullet"/>
      <w:lvlText w:val=""/>
      <w:lvlJc w:val="left"/>
      <w:pPr>
        <w:ind w:left="5394" w:hanging="360"/>
      </w:pPr>
      <w:rPr>
        <w:rFonts w:ascii="Symbol" w:hAnsi="Symbol" w:hint="default"/>
      </w:rPr>
    </w:lvl>
    <w:lvl w:ilvl="7" w:tplc="BEB01DAC" w:tentative="1">
      <w:start w:val="1"/>
      <w:numFmt w:val="bullet"/>
      <w:lvlText w:val="o"/>
      <w:lvlJc w:val="left"/>
      <w:pPr>
        <w:ind w:left="6114" w:hanging="360"/>
      </w:pPr>
      <w:rPr>
        <w:rFonts w:ascii="Courier New" w:hAnsi="Courier New" w:hint="default"/>
      </w:rPr>
    </w:lvl>
    <w:lvl w:ilvl="8" w:tplc="D7186D4E" w:tentative="1">
      <w:start w:val="1"/>
      <w:numFmt w:val="bullet"/>
      <w:lvlText w:val=""/>
      <w:lvlJc w:val="left"/>
      <w:pPr>
        <w:ind w:left="6834" w:hanging="360"/>
      </w:pPr>
      <w:rPr>
        <w:rFonts w:ascii="Wingdings" w:hAnsi="Wingdings" w:hint="default"/>
      </w:rPr>
    </w:lvl>
  </w:abstractNum>
  <w:abstractNum w:abstractNumId="22" w15:restartNumberingAfterBreak="0">
    <w:nsid w:val="787E4D88"/>
    <w:multiLevelType w:val="hybridMultilevel"/>
    <w:tmpl w:val="ADB2035A"/>
    <w:lvl w:ilvl="0" w:tplc="1A9C5556">
      <w:start w:val="1"/>
      <w:numFmt w:val="bullet"/>
      <w:pStyle w:val="ListBullet"/>
      <w:lvlText w:val="•"/>
      <w:lvlJc w:val="left"/>
      <w:pPr>
        <w:ind w:left="360" w:hanging="360"/>
      </w:pPr>
      <w:rPr>
        <w:rFonts w:ascii="Aptos" w:hAnsi="Aptos" w:hint="default"/>
        <w:color w:val="auto"/>
      </w:rPr>
    </w:lvl>
    <w:lvl w:ilvl="1" w:tplc="2D187B98">
      <w:start w:val="1"/>
      <w:numFmt w:val="bullet"/>
      <w:pStyle w:val="ListBullet2"/>
      <w:lvlText w:val="·"/>
      <w:lvlJc w:val="left"/>
      <w:pPr>
        <w:ind w:left="720" w:hanging="360"/>
      </w:pPr>
      <w:rPr>
        <w:rFonts w:ascii="Arial" w:hAnsi="Arial" w:hint="default"/>
        <w:color w:val="auto"/>
      </w:rPr>
    </w:lvl>
    <w:lvl w:ilvl="2" w:tplc="058412D6">
      <w:start w:val="1"/>
      <w:numFmt w:val="bullet"/>
      <w:pStyle w:val="ListBullet3"/>
      <w:lvlText w:val="–"/>
      <w:lvlJc w:val="left"/>
      <w:pPr>
        <w:ind w:left="1080" w:hanging="360"/>
      </w:pPr>
      <w:rPr>
        <w:rFonts w:ascii="Arial" w:hAnsi="Arial" w:hint="default"/>
        <w:color w:val="auto"/>
      </w:rPr>
    </w:lvl>
    <w:lvl w:ilvl="3" w:tplc="03AC4408">
      <w:start w:val="1"/>
      <w:numFmt w:val="bullet"/>
      <w:pStyle w:val="ListBullet4"/>
      <w:lvlText w:val="–"/>
      <w:lvlJc w:val="left"/>
      <w:pPr>
        <w:ind w:left="1440" w:hanging="360"/>
      </w:pPr>
      <w:rPr>
        <w:rFonts w:ascii="Arial" w:hAnsi="Arial" w:hint="default"/>
        <w:color w:val="auto"/>
      </w:rPr>
    </w:lvl>
    <w:lvl w:ilvl="4" w:tplc="7A322D68">
      <w:start w:val="1"/>
      <w:numFmt w:val="bullet"/>
      <w:pStyle w:val="ListBullet5"/>
      <w:lvlText w:val="–"/>
      <w:lvlJc w:val="left"/>
      <w:pPr>
        <w:ind w:left="1800" w:hanging="360"/>
      </w:pPr>
      <w:rPr>
        <w:rFonts w:ascii="Arial" w:hAnsi="Arial" w:hint="default"/>
        <w:color w:val="auto"/>
      </w:rPr>
    </w:lvl>
    <w:lvl w:ilvl="5" w:tplc="5328AEE4">
      <w:start w:val="1"/>
      <w:numFmt w:val="bullet"/>
      <w:lvlText w:val="–"/>
      <w:lvlJc w:val="left"/>
      <w:pPr>
        <w:ind w:left="2160" w:hanging="360"/>
      </w:pPr>
      <w:rPr>
        <w:rFonts w:ascii="Arial" w:hAnsi="Arial" w:hint="default"/>
        <w:color w:val="auto"/>
      </w:rPr>
    </w:lvl>
    <w:lvl w:ilvl="6" w:tplc="E710F0A0">
      <w:start w:val="1"/>
      <w:numFmt w:val="bullet"/>
      <w:lvlText w:val="–"/>
      <w:lvlJc w:val="left"/>
      <w:pPr>
        <w:ind w:left="2520" w:hanging="360"/>
      </w:pPr>
      <w:rPr>
        <w:rFonts w:ascii="Arial" w:hAnsi="Arial" w:hint="default"/>
        <w:color w:val="auto"/>
      </w:rPr>
    </w:lvl>
    <w:lvl w:ilvl="7" w:tplc="EC4A6A64">
      <w:start w:val="1"/>
      <w:numFmt w:val="bullet"/>
      <w:lvlText w:val="–"/>
      <w:lvlJc w:val="left"/>
      <w:pPr>
        <w:ind w:left="2880" w:hanging="360"/>
      </w:pPr>
      <w:rPr>
        <w:rFonts w:ascii="Arial" w:hAnsi="Arial" w:hint="default"/>
        <w:color w:val="auto"/>
      </w:rPr>
    </w:lvl>
    <w:lvl w:ilvl="8" w:tplc="DCECDF28">
      <w:start w:val="1"/>
      <w:numFmt w:val="bullet"/>
      <w:lvlText w:val="–"/>
      <w:lvlJc w:val="left"/>
      <w:pPr>
        <w:ind w:left="3240" w:hanging="360"/>
      </w:pPr>
      <w:rPr>
        <w:rFonts w:ascii="Arial" w:hAnsi="Arial" w:hint="default"/>
        <w:color w:val="auto"/>
      </w:rPr>
    </w:lvl>
  </w:abstractNum>
  <w:abstractNum w:abstractNumId="23" w15:restartNumberingAfterBreak="0">
    <w:nsid w:val="79C1B5F1"/>
    <w:multiLevelType w:val="hybridMultilevel"/>
    <w:tmpl w:val="FA88FF04"/>
    <w:lvl w:ilvl="0" w:tplc="C7406BA0">
      <w:start w:val="1"/>
      <w:numFmt w:val="bullet"/>
      <w:lvlText w:val="-"/>
      <w:lvlJc w:val="left"/>
      <w:pPr>
        <w:ind w:left="720" w:hanging="360"/>
      </w:pPr>
      <w:rPr>
        <w:rFonts w:ascii="Aptos" w:hAnsi="Aptos" w:hint="default"/>
      </w:rPr>
    </w:lvl>
    <w:lvl w:ilvl="1" w:tplc="33A25CEC">
      <w:start w:val="1"/>
      <w:numFmt w:val="bullet"/>
      <w:lvlText w:val="o"/>
      <w:lvlJc w:val="left"/>
      <w:pPr>
        <w:ind w:left="1440" w:hanging="360"/>
      </w:pPr>
      <w:rPr>
        <w:rFonts w:ascii="Courier New" w:hAnsi="Courier New" w:hint="default"/>
      </w:rPr>
    </w:lvl>
    <w:lvl w:ilvl="2" w:tplc="40E88832">
      <w:start w:val="1"/>
      <w:numFmt w:val="bullet"/>
      <w:lvlText w:val=""/>
      <w:lvlJc w:val="left"/>
      <w:pPr>
        <w:ind w:left="2160" w:hanging="360"/>
      </w:pPr>
      <w:rPr>
        <w:rFonts w:ascii="Wingdings" w:hAnsi="Wingdings" w:hint="default"/>
      </w:rPr>
    </w:lvl>
    <w:lvl w:ilvl="3" w:tplc="7634260E">
      <w:start w:val="1"/>
      <w:numFmt w:val="bullet"/>
      <w:lvlText w:val=""/>
      <w:lvlJc w:val="left"/>
      <w:pPr>
        <w:ind w:left="2880" w:hanging="360"/>
      </w:pPr>
      <w:rPr>
        <w:rFonts w:ascii="Symbol" w:hAnsi="Symbol" w:hint="default"/>
      </w:rPr>
    </w:lvl>
    <w:lvl w:ilvl="4" w:tplc="2EEC74D4">
      <w:start w:val="1"/>
      <w:numFmt w:val="bullet"/>
      <w:lvlText w:val="o"/>
      <w:lvlJc w:val="left"/>
      <w:pPr>
        <w:ind w:left="3600" w:hanging="360"/>
      </w:pPr>
      <w:rPr>
        <w:rFonts w:ascii="Courier New" w:hAnsi="Courier New" w:hint="default"/>
      </w:rPr>
    </w:lvl>
    <w:lvl w:ilvl="5" w:tplc="7FE039CC">
      <w:start w:val="1"/>
      <w:numFmt w:val="bullet"/>
      <w:lvlText w:val=""/>
      <w:lvlJc w:val="left"/>
      <w:pPr>
        <w:ind w:left="4320" w:hanging="360"/>
      </w:pPr>
      <w:rPr>
        <w:rFonts w:ascii="Wingdings" w:hAnsi="Wingdings" w:hint="default"/>
      </w:rPr>
    </w:lvl>
    <w:lvl w:ilvl="6" w:tplc="B6DC8848">
      <w:start w:val="1"/>
      <w:numFmt w:val="bullet"/>
      <w:lvlText w:val=""/>
      <w:lvlJc w:val="left"/>
      <w:pPr>
        <w:ind w:left="5040" w:hanging="360"/>
      </w:pPr>
      <w:rPr>
        <w:rFonts w:ascii="Symbol" w:hAnsi="Symbol" w:hint="default"/>
      </w:rPr>
    </w:lvl>
    <w:lvl w:ilvl="7" w:tplc="C922A66E">
      <w:start w:val="1"/>
      <w:numFmt w:val="bullet"/>
      <w:lvlText w:val="o"/>
      <w:lvlJc w:val="left"/>
      <w:pPr>
        <w:ind w:left="5760" w:hanging="360"/>
      </w:pPr>
      <w:rPr>
        <w:rFonts w:ascii="Courier New" w:hAnsi="Courier New" w:hint="default"/>
      </w:rPr>
    </w:lvl>
    <w:lvl w:ilvl="8" w:tplc="6234C9B2">
      <w:start w:val="1"/>
      <w:numFmt w:val="bullet"/>
      <w:lvlText w:val=""/>
      <w:lvlJc w:val="left"/>
      <w:pPr>
        <w:ind w:left="6480" w:hanging="360"/>
      </w:pPr>
      <w:rPr>
        <w:rFonts w:ascii="Wingdings" w:hAnsi="Wingdings" w:hint="default"/>
      </w:rPr>
    </w:lvl>
  </w:abstractNum>
  <w:abstractNum w:abstractNumId="24" w15:restartNumberingAfterBreak="0">
    <w:nsid w:val="7BD02A33"/>
    <w:multiLevelType w:val="hybridMultilevel"/>
    <w:tmpl w:val="398AB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4"/>
  </w:num>
  <w:num w:numId="4">
    <w:abstractNumId w:val="17"/>
  </w:num>
  <w:num w:numId="5">
    <w:abstractNumId w:val="18"/>
  </w:num>
  <w:num w:numId="6">
    <w:abstractNumId w:val="15"/>
  </w:num>
  <w:num w:numId="7">
    <w:abstractNumId w:val="1"/>
  </w:num>
  <w:num w:numId="8">
    <w:abstractNumId w:val="13"/>
  </w:num>
  <w:num w:numId="9">
    <w:abstractNumId w:val="21"/>
  </w:num>
  <w:num w:numId="10">
    <w:abstractNumId w:val="7"/>
  </w:num>
  <w:num w:numId="11">
    <w:abstractNumId w:val="6"/>
  </w:num>
  <w:num w:numId="12">
    <w:abstractNumId w:val="20"/>
  </w:num>
  <w:num w:numId="13">
    <w:abstractNumId w:val="9"/>
  </w:num>
  <w:num w:numId="14">
    <w:abstractNumId w:val="11"/>
  </w:num>
  <w:num w:numId="15">
    <w:abstractNumId w:val="12"/>
  </w:num>
  <w:num w:numId="16">
    <w:abstractNumId w:val="2"/>
  </w:num>
  <w:num w:numId="17">
    <w:abstractNumId w:val="19"/>
  </w:num>
  <w:num w:numId="18">
    <w:abstractNumId w:val="14"/>
  </w:num>
  <w:num w:numId="19">
    <w:abstractNumId w:val="0"/>
  </w:num>
  <w:num w:numId="20">
    <w:abstractNumId w:val="24"/>
  </w:num>
  <w:num w:numId="21">
    <w:abstractNumId w:val="8"/>
  </w:num>
  <w:num w:numId="22">
    <w:abstractNumId w:val="5"/>
  </w:num>
  <w:num w:numId="23">
    <w:abstractNumId w:val="16"/>
  </w:num>
  <w:num w:numId="24">
    <w:abstractNumId w:val="3"/>
  </w:num>
  <w:num w:numId="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zNjcyNTezMLI0MjdS0lEKTi0uzszPAykwrgUAl714LiwAAAA="/>
  </w:docVars>
  <w:rsids>
    <w:rsidRoot w:val="00BA0406"/>
    <w:rsid w:val="000044B1"/>
    <w:rsid w:val="00011EBE"/>
    <w:rsid w:val="0001234E"/>
    <w:rsid w:val="000136A5"/>
    <w:rsid w:val="00013E33"/>
    <w:rsid w:val="00015555"/>
    <w:rsid w:val="0001627D"/>
    <w:rsid w:val="000164A5"/>
    <w:rsid w:val="00020759"/>
    <w:rsid w:val="00020CF3"/>
    <w:rsid w:val="0002234B"/>
    <w:rsid w:val="00024813"/>
    <w:rsid w:val="000248F8"/>
    <w:rsid w:val="00024D83"/>
    <w:rsid w:val="00032388"/>
    <w:rsid w:val="00032CD4"/>
    <w:rsid w:val="00033439"/>
    <w:rsid w:val="00034043"/>
    <w:rsid w:val="000369EA"/>
    <w:rsid w:val="00036FE5"/>
    <w:rsid w:val="00037DE5"/>
    <w:rsid w:val="000400E1"/>
    <w:rsid w:val="00041055"/>
    <w:rsid w:val="00041EEE"/>
    <w:rsid w:val="00045A4F"/>
    <w:rsid w:val="00051E43"/>
    <w:rsid w:val="00054066"/>
    <w:rsid w:val="00056952"/>
    <w:rsid w:val="00056BC0"/>
    <w:rsid w:val="000612B5"/>
    <w:rsid w:val="00061B61"/>
    <w:rsid w:val="000635BC"/>
    <w:rsid w:val="00064111"/>
    <w:rsid w:val="000658B5"/>
    <w:rsid w:val="00065F7E"/>
    <w:rsid w:val="00070387"/>
    <w:rsid w:val="00070803"/>
    <w:rsid w:val="000760F4"/>
    <w:rsid w:val="00080037"/>
    <w:rsid w:val="00083A58"/>
    <w:rsid w:val="00083FD2"/>
    <w:rsid w:val="0008584C"/>
    <w:rsid w:val="000872A3"/>
    <w:rsid w:val="0009083C"/>
    <w:rsid w:val="00091A80"/>
    <w:rsid w:val="00091C65"/>
    <w:rsid w:val="00096866"/>
    <w:rsid w:val="0009790C"/>
    <w:rsid w:val="000A1273"/>
    <w:rsid w:val="000A1738"/>
    <w:rsid w:val="000A1EF9"/>
    <w:rsid w:val="000A2E7B"/>
    <w:rsid w:val="000A336E"/>
    <w:rsid w:val="000A4DA7"/>
    <w:rsid w:val="000A5B5A"/>
    <w:rsid w:val="000A66C9"/>
    <w:rsid w:val="000B3336"/>
    <w:rsid w:val="000B40C2"/>
    <w:rsid w:val="000B4C63"/>
    <w:rsid w:val="000B5598"/>
    <w:rsid w:val="000B5729"/>
    <w:rsid w:val="000C4291"/>
    <w:rsid w:val="000C5879"/>
    <w:rsid w:val="000C5E6E"/>
    <w:rsid w:val="000C68BF"/>
    <w:rsid w:val="000D19FF"/>
    <w:rsid w:val="000D22A8"/>
    <w:rsid w:val="000D793D"/>
    <w:rsid w:val="000D7D92"/>
    <w:rsid w:val="000D7F92"/>
    <w:rsid w:val="000E0713"/>
    <w:rsid w:val="000E12BB"/>
    <w:rsid w:val="000E4C0E"/>
    <w:rsid w:val="000E552A"/>
    <w:rsid w:val="000E7211"/>
    <w:rsid w:val="000E76FA"/>
    <w:rsid w:val="000F2461"/>
    <w:rsid w:val="000F2EDC"/>
    <w:rsid w:val="000F47A6"/>
    <w:rsid w:val="000F5A29"/>
    <w:rsid w:val="000F5CB5"/>
    <w:rsid w:val="000F6463"/>
    <w:rsid w:val="000F6579"/>
    <w:rsid w:val="000F7990"/>
    <w:rsid w:val="00100584"/>
    <w:rsid w:val="001010A9"/>
    <w:rsid w:val="0010640F"/>
    <w:rsid w:val="00106F60"/>
    <w:rsid w:val="0011220B"/>
    <w:rsid w:val="00113042"/>
    <w:rsid w:val="00113EA9"/>
    <w:rsid w:val="001141D0"/>
    <w:rsid w:val="00115801"/>
    <w:rsid w:val="001175CB"/>
    <w:rsid w:val="00117894"/>
    <w:rsid w:val="001178D7"/>
    <w:rsid w:val="00117949"/>
    <w:rsid w:val="0012062F"/>
    <w:rsid w:val="00120E3D"/>
    <w:rsid w:val="001239E7"/>
    <w:rsid w:val="00124487"/>
    <w:rsid w:val="001279BB"/>
    <w:rsid w:val="00133783"/>
    <w:rsid w:val="001338BA"/>
    <w:rsid w:val="00133D72"/>
    <w:rsid w:val="001368BE"/>
    <w:rsid w:val="00136B50"/>
    <w:rsid w:val="00141077"/>
    <w:rsid w:val="001425A7"/>
    <w:rsid w:val="001432FE"/>
    <w:rsid w:val="00144282"/>
    <w:rsid w:val="00152AC1"/>
    <w:rsid w:val="00153AEF"/>
    <w:rsid w:val="001547CB"/>
    <w:rsid w:val="00154C1A"/>
    <w:rsid w:val="00154EF5"/>
    <w:rsid w:val="00156042"/>
    <w:rsid w:val="001567DD"/>
    <w:rsid w:val="00157AB6"/>
    <w:rsid w:val="00157CE7"/>
    <w:rsid w:val="001714D3"/>
    <w:rsid w:val="00174365"/>
    <w:rsid w:val="00174708"/>
    <w:rsid w:val="001814FD"/>
    <w:rsid w:val="00181978"/>
    <w:rsid w:val="00182D27"/>
    <w:rsid w:val="00184FB7"/>
    <w:rsid w:val="00187903"/>
    <w:rsid w:val="00187C93"/>
    <w:rsid w:val="00191178"/>
    <w:rsid w:val="00191513"/>
    <w:rsid w:val="00191CC2"/>
    <w:rsid w:val="00192329"/>
    <w:rsid w:val="00193699"/>
    <w:rsid w:val="00194714"/>
    <w:rsid w:val="00197249"/>
    <w:rsid w:val="00197290"/>
    <w:rsid w:val="0019759D"/>
    <w:rsid w:val="00197E66"/>
    <w:rsid w:val="001A03FE"/>
    <w:rsid w:val="001A0D18"/>
    <w:rsid w:val="001A0E88"/>
    <w:rsid w:val="001A1C51"/>
    <w:rsid w:val="001A41EB"/>
    <w:rsid w:val="001A5727"/>
    <w:rsid w:val="001A65EE"/>
    <w:rsid w:val="001A7D74"/>
    <w:rsid w:val="001B3928"/>
    <w:rsid w:val="001B5943"/>
    <w:rsid w:val="001B709F"/>
    <w:rsid w:val="001B7FA1"/>
    <w:rsid w:val="001C03BB"/>
    <w:rsid w:val="001C2736"/>
    <w:rsid w:val="001C28D3"/>
    <w:rsid w:val="001C3460"/>
    <w:rsid w:val="001C3FD0"/>
    <w:rsid w:val="001C48D8"/>
    <w:rsid w:val="001C4B8A"/>
    <w:rsid w:val="001C5149"/>
    <w:rsid w:val="001C52C2"/>
    <w:rsid w:val="001C5C76"/>
    <w:rsid w:val="001C6BB6"/>
    <w:rsid w:val="001D07B3"/>
    <w:rsid w:val="001D0AFC"/>
    <w:rsid w:val="001D1EF4"/>
    <w:rsid w:val="001D2019"/>
    <w:rsid w:val="001D3383"/>
    <w:rsid w:val="001D609A"/>
    <w:rsid w:val="001D610E"/>
    <w:rsid w:val="001D7528"/>
    <w:rsid w:val="001D76E4"/>
    <w:rsid w:val="001E0FEA"/>
    <w:rsid w:val="001E2348"/>
    <w:rsid w:val="001E3A54"/>
    <w:rsid w:val="001E41E5"/>
    <w:rsid w:val="001E49C9"/>
    <w:rsid w:val="001E5108"/>
    <w:rsid w:val="001E5CB9"/>
    <w:rsid w:val="001E5F8E"/>
    <w:rsid w:val="001E65DD"/>
    <w:rsid w:val="001F1430"/>
    <w:rsid w:val="001F25C8"/>
    <w:rsid w:val="001F3C12"/>
    <w:rsid w:val="001F40EE"/>
    <w:rsid w:val="001F5303"/>
    <w:rsid w:val="001F759B"/>
    <w:rsid w:val="002004C9"/>
    <w:rsid w:val="00201CF1"/>
    <w:rsid w:val="00202C71"/>
    <w:rsid w:val="00202F7F"/>
    <w:rsid w:val="00207CBE"/>
    <w:rsid w:val="00210409"/>
    <w:rsid w:val="00210E8D"/>
    <w:rsid w:val="00217D19"/>
    <w:rsid w:val="0022009C"/>
    <w:rsid w:val="00220366"/>
    <w:rsid w:val="00225E4A"/>
    <w:rsid w:val="00226249"/>
    <w:rsid w:val="00227152"/>
    <w:rsid w:val="00231105"/>
    <w:rsid w:val="00231876"/>
    <w:rsid w:val="002320CE"/>
    <w:rsid w:val="00233385"/>
    <w:rsid w:val="002333C5"/>
    <w:rsid w:val="00242034"/>
    <w:rsid w:val="002422FD"/>
    <w:rsid w:val="00242E7B"/>
    <w:rsid w:val="00244887"/>
    <w:rsid w:val="00244E46"/>
    <w:rsid w:val="00252660"/>
    <w:rsid w:val="00253E2B"/>
    <w:rsid w:val="002574B2"/>
    <w:rsid w:val="00257A55"/>
    <w:rsid w:val="002603C4"/>
    <w:rsid w:val="00262769"/>
    <w:rsid w:val="002632B7"/>
    <w:rsid w:val="00264464"/>
    <w:rsid w:val="002648BD"/>
    <w:rsid w:val="00264F4D"/>
    <w:rsid w:val="00272AAC"/>
    <w:rsid w:val="00274521"/>
    <w:rsid w:val="00275504"/>
    <w:rsid w:val="002776FA"/>
    <w:rsid w:val="0028070D"/>
    <w:rsid w:val="002871D8"/>
    <w:rsid w:val="00291082"/>
    <w:rsid w:val="00295234"/>
    <w:rsid w:val="00295D0D"/>
    <w:rsid w:val="00296ADC"/>
    <w:rsid w:val="002979E2"/>
    <w:rsid w:val="00297CB5"/>
    <w:rsid w:val="002A02B1"/>
    <w:rsid w:val="002A1211"/>
    <w:rsid w:val="002A12DA"/>
    <w:rsid w:val="002A1929"/>
    <w:rsid w:val="002A521B"/>
    <w:rsid w:val="002A6485"/>
    <w:rsid w:val="002A66E5"/>
    <w:rsid w:val="002B0679"/>
    <w:rsid w:val="002B0EC7"/>
    <w:rsid w:val="002B0F82"/>
    <w:rsid w:val="002B1417"/>
    <w:rsid w:val="002B161A"/>
    <w:rsid w:val="002B16A7"/>
    <w:rsid w:val="002B50A4"/>
    <w:rsid w:val="002B6D33"/>
    <w:rsid w:val="002C0BE4"/>
    <w:rsid w:val="002C1E4B"/>
    <w:rsid w:val="002C2769"/>
    <w:rsid w:val="002C2E1B"/>
    <w:rsid w:val="002C3AFC"/>
    <w:rsid w:val="002C5058"/>
    <w:rsid w:val="002C7B9D"/>
    <w:rsid w:val="002D3E24"/>
    <w:rsid w:val="002D521E"/>
    <w:rsid w:val="002D62CE"/>
    <w:rsid w:val="002D67D3"/>
    <w:rsid w:val="002D7005"/>
    <w:rsid w:val="002D7462"/>
    <w:rsid w:val="002E038B"/>
    <w:rsid w:val="002E1790"/>
    <w:rsid w:val="002E1998"/>
    <w:rsid w:val="002E2CB1"/>
    <w:rsid w:val="002E2F01"/>
    <w:rsid w:val="002E41A9"/>
    <w:rsid w:val="002E6D7C"/>
    <w:rsid w:val="002F0E89"/>
    <w:rsid w:val="002F208B"/>
    <w:rsid w:val="002F2993"/>
    <w:rsid w:val="002F52F7"/>
    <w:rsid w:val="002F64CA"/>
    <w:rsid w:val="002F6F32"/>
    <w:rsid w:val="003004FA"/>
    <w:rsid w:val="0030669E"/>
    <w:rsid w:val="00307A67"/>
    <w:rsid w:val="00312E38"/>
    <w:rsid w:val="003167EE"/>
    <w:rsid w:val="00316815"/>
    <w:rsid w:val="00320667"/>
    <w:rsid w:val="003233EA"/>
    <w:rsid w:val="00326CE8"/>
    <w:rsid w:val="003300BD"/>
    <w:rsid w:val="00332EBE"/>
    <w:rsid w:val="00337255"/>
    <w:rsid w:val="00337769"/>
    <w:rsid w:val="0033785B"/>
    <w:rsid w:val="0033786B"/>
    <w:rsid w:val="00337B43"/>
    <w:rsid w:val="0034210B"/>
    <w:rsid w:val="00342B0C"/>
    <w:rsid w:val="00343C87"/>
    <w:rsid w:val="003447BD"/>
    <w:rsid w:val="003450AC"/>
    <w:rsid w:val="00345749"/>
    <w:rsid w:val="00351CED"/>
    <w:rsid w:val="0035330E"/>
    <w:rsid w:val="0035368C"/>
    <w:rsid w:val="00353DC5"/>
    <w:rsid w:val="003550F0"/>
    <w:rsid w:val="00361C84"/>
    <w:rsid w:val="00363AA0"/>
    <w:rsid w:val="0036434E"/>
    <w:rsid w:val="00370B10"/>
    <w:rsid w:val="00371EAB"/>
    <w:rsid w:val="00380AA5"/>
    <w:rsid w:val="0038259F"/>
    <w:rsid w:val="00384083"/>
    <w:rsid w:val="003845DF"/>
    <w:rsid w:val="0038463F"/>
    <w:rsid w:val="00387AAC"/>
    <w:rsid w:val="00397A3B"/>
    <w:rsid w:val="003A0533"/>
    <w:rsid w:val="003A14D8"/>
    <w:rsid w:val="003A205C"/>
    <w:rsid w:val="003A52C7"/>
    <w:rsid w:val="003A5F1D"/>
    <w:rsid w:val="003A67D8"/>
    <w:rsid w:val="003A68CB"/>
    <w:rsid w:val="003B3D1A"/>
    <w:rsid w:val="003B551F"/>
    <w:rsid w:val="003B5C68"/>
    <w:rsid w:val="003C1731"/>
    <w:rsid w:val="003C17BB"/>
    <w:rsid w:val="003C27E2"/>
    <w:rsid w:val="003C3199"/>
    <w:rsid w:val="003C3CC4"/>
    <w:rsid w:val="003C469B"/>
    <w:rsid w:val="003C5C39"/>
    <w:rsid w:val="003D17FB"/>
    <w:rsid w:val="003D2652"/>
    <w:rsid w:val="003D5188"/>
    <w:rsid w:val="003D5D9E"/>
    <w:rsid w:val="003D60F9"/>
    <w:rsid w:val="003D70C7"/>
    <w:rsid w:val="003E0987"/>
    <w:rsid w:val="003E0ED3"/>
    <w:rsid w:val="003E0F3F"/>
    <w:rsid w:val="003E1AC6"/>
    <w:rsid w:val="003E37B6"/>
    <w:rsid w:val="003E4D00"/>
    <w:rsid w:val="003E6DF1"/>
    <w:rsid w:val="003E7795"/>
    <w:rsid w:val="003F0176"/>
    <w:rsid w:val="003F0791"/>
    <w:rsid w:val="003F31FC"/>
    <w:rsid w:val="003F4678"/>
    <w:rsid w:val="003FCE71"/>
    <w:rsid w:val="004003DB"/>
    <w:rsid w:val="00401788"/>
    <w:rsid w:val="00407E7F"/>
    <w:rsid w:val="00411636"/>
    <w:rsid w:val="004118D8"/>
    <w:rsid w:val="004118F5"/>
    <w:rsid w:val="00411B7D"/>
    <w:rsid w:val="00413661"/>
    <w:rsid w:val="00416267"/>
    <w:rsid w:val="00420DA8"/>
    <w:rsid w:val="004217A6"/>
    <w:rsid w:val="004219DB"/>
    <w:rsid w:val="004223ED"/>
    <w:rsid w:val="004231A5"/>
    <w:rsid w:val="00424406"/>
    <w:rsid w:val="00425C5C"/>
    <w:rsid w:val="004261DC"/>
    <w:rsid w:val="004265BE"/>
    <w:rsid w:val="0042689F"/>
    <w:rsid w:val="00431975"/>
    <w:rsid w:val="00433093"/>
    <w:rsid w:val="004339D6"/>
    <w:rsid w:val="00436762"/>
    <w:rsid w:val="0044217F"/>
    <w:rsid w:val="00447F86"/>
    <w:rsid w:val="00450AEF"/>
    <w:rsid w:val="00452B24"/>
    <w:rsid w:val="0045454F"/>
    <w:rsid w:val="00457EA4"/>
    <w:rsid w:val="00461A44"/>
    <w:rsid w:val="004624F7"/>
    <w:rsid w:val="00462C1E"/>
    <w:rsid w:val="004637F7"/>
    <w:rsid w:val="004638A1"/>
    <w:rsid w:val="004642D9"/>
    <w:rsid w:val="0046485F"/>
    <w:rsid w:val="00467B74"/>
    <w:rsid w:val="00467CE7"/>
    <w:rsid w:val="0047130C"/>
    <w:rsid w:val="00472CEE"/>
    <w:rsid w:val="00473243"/>
    <w:rsid w:val="00473FCD"/>
    <w:rsid w:val="00481E43"/>
    <w:rsid w:val="00487910"/>
    <w:rsid w:val="00495969"/>
    <w:rsid w:val="00496642"/>
    <w:rsid w:val="004972AD"/>
    <w:rsid w:val="00497959"/>
    <w:rsid w:val="004A0ED4"/>
    <w:rsid w:val="004A50DD"/>
    <w:rsid w:val="004A58E5"/>
    <w:rsid w:val="004A6A7C"/>
    <w:rsid w:val="004A7DA8"/>
    <w:rsid w:val="004B38F6"/>
    <w:rsid w:val="004B7A3E"/>
    <w:rsid w:val="004C26DA"/>
    <w:rsid w:val="004C2D38"/>
    <w:rsid w:val="004C6084"/>
    <w:rsid w:val="004C7875"/>
    <w:rsid w:val="004D0DC8"/>
    <w:rsid w:val="004D3380"/>
    <w:rsid w:val="004D7430"/>
    <w:rsid w:val="004E145D"/>
    <w:rsid w:val="004E2765"/>
    <w:rsid w:val="004E38D4"/>
    <w:rsid w:val="004E4480"/>
    <w:rsid w:val="004E5EEB"/>
    <w:rsid w:val="004F16FA"/>
    <w:rsid w:val="004F6053"/>
    <w:rsid w:val="0050379A"/>
    <w:rsid w:val="00504AE4"/>
    <w:rsid w:val="0050706D"/>
    <w:rsid w:val="00507DED"/>
    <w:rsid w:val="00510A99"/>
    <w:rsid w:val="00512BE7"/>
    <w:rsid w:val="005138A5"/>
    <w:rsid w:val="00515EE4"/>
    <w:rsid w:val="00520281"/>
    <w:rsid w:val="00521C5A"/>
    <w:rsid w:val="00521CCB"/>
    <w:rsid w:val="00521EF1"/>
    <w:rsid w:val="005234AB"/>
    <w:rsid w:val="00525FA6"/>
    <w:rsid w:val="00526574"/>
    <w:rsid w:val="005266C3"/>
    <w:rsid w:val="00527278"/>
    <w:rsid w:val="00527D0A"/>
    <w:rsid w:val="00530C13"/>
    <w:rsid w:val="005316C5"/>
    <w:rsid w:val="00532D47"/>
    <w:rsid w:val="00537CBE"/>
    <w:rsid w:val="00537ECB"/>
    <w:rsid w:val="005410C1"/>
    <w:rsid w:val="005520BC"/>
    <w:rsid w:val="00552F86"/>
    <w:rsid w:val="00553F3A"/>
    <w:rsid w:val="005547EB"/>
    <w:rsid w:val="005559C1"/>
    <w:rsid w:val="00555D76"/>
    <w:rsid w:val="00557E8D"/>
    <w:rsid w:val="00562DF0"/>
    <w:rsid w:val="005634B4"/>
    <w:rsid w:val="0056463F"/>
    <w:rsid w:val="005646CD"/>
    <w:rsid w:val="0056489B"/>
    <w:rsid w:val="005679A0"/>
    <w:rsid w:val="00570151"/>
    <w:rsid w:val="0057173F"/>
    <w:rsid w:val="00573A16"/>
    <w:rsid w:val="00582037"/>
    <w:rsid w:val="00584EA0"/>
    <w:rsid w:val="00585314"/>
    <w:rsid w:val="00585DCF"/>
    <w:rsid w:val="00586756"/>
    <w:rsid w:val="005915AE"/>
    <w:rsid w:val="0059237F"/>
    <w:rsid w:val="005926D0"/>
    <w:rsid w:val="0059331F"/>
    <w:rsid w:val="00593C4E"/>
    <w:rsid w:val="005943E4"/>
    <w:rsid w:val="005946F9"/>
    <w:rsid w:val="00594996"/>
    <w:rsid w:val="00595909"/>
    <w:rsid w:val="00597FA2"/>
    <w:rsid w:val="005A0768"/>
    <w:rsid w:val="005A22A5"/>
    <w:rsid w:val="005A647D"/>
    <w:rsid w:val="005A66E0"/>
    <w:rsid w:val="005A7A0C"/>
    <w:rsid w:val="005B0B95"/>
    <w:rsid w:val="005B158F"/>
    <w:rsid w:val="005B1BD1"/>
    <w:rsid w:val="005B244E"/>
    <w:rsid w:val="005B3394"/>
    <w:rsid w:val="005B3A1A"/>
    <w:rsid w:val="005B5231"/>
    <w:rsid w:val="005B5303"/>
    <w:rsid w:val="005B5427"/>
    <w:rsid w:val="005B79CC"/>
    <w:rsid w:val="005C19F8"/>
    <w:rsid w:val="005C317B"/>
    <w:rsid w:val="005C3BCC"/>
    <w:rsid w:val="005C3C53"/>
    <w:rsid w:val="005C3D26"/>
    <w:rsid w:val="005C704B"/>
    <w:rsid w:val="005C76E3"/>
    <w:rsid w:val="005D32BE"/>
    <w:rsid w:val="005D3CEE"/>
    <w:rsid w:val="005D404F"/>
    <w:rsid w:val="005D58F1"/>
    <w:rsid w:val="005D65FE"/>
    <w:rsid w:val="005E3C4D"/>
    <w:rsid w:val="005E3E4E"/>
    <w:rsid w:val="005E7ADF"/>
    <w:rsid w:val="005F08D9"/>
    <w:rsid w:val="005F2B0F"/>
    <w:rsid w:val="005F3D95"/>
    <w:rsid w:val="005F3DF3"/>
    <w:rsid w:val="005F4740"/>
    <w:rsid w:val="005F59AA"/>
    <w:rsid w:val="005F68AB"/>
    <w:rsid w:val="00602BA9"/>
    <w:rsid w:val="0060327D"/>
    <w:rsid w:val="00603D3A"/>
    <w:rsid w:val="0060777F"/>
    <w:rsid w:val="00607D8E"/>
    <w:rsid w:val="00610149"/>
    <w:rsid w:val="0061259C"/>
    <w:rsid w:val="00614332"/>
    <w:rsid w:val="00615C18"/>
    <w:rsid w:val="00616063"/>
    <w:rsid w:val="00616A8F"/>
    <w:rsid w:val="0062006A"/>
    <w:rsid w:val="00622A8D"/>
    <w:rsid w:val="0062348C"/>
    <w:rsid w:val="00627971"/>
    <w:rsid w:val="006313C0"/>
    <w:rsid w:val="00632B88"/>
    <w:rsid w:val="006330DA"/>
    <w:rsid w:val="006339F9"/>
    <w:rsid w:val="0063637D"/>
    <w:rsid w:val="006364D5"/>
    <w:rsid w:val="006367D6"/>
    <w:rsid w:val="00636C34"/>
    <w:rsid w:val="00640006"/>
    <w:rsid w:val="0064041E"/>
    <w:rsid w:val="00640B02"/>
    <w:rsid w:val="00640B15"/>
    <w:rsid w:val="006458A1"/>
    <w:rsid w:val="00645BD4"/>
    <w:rsid w:val="00645EBA"/>
    <w:rsid w:val="0064638E"/>
    <w:rsid w:val="0064682E"/>
    <w:rsid w:val="00651627"/>
    <w:rsid w:val="00656D2E"/>
    <w:rsid w:val="0065754D"/>
    <w:rsid w:val="00662B82"/>
    <w:rsid w:val="00663A07"/>
    <w:rsid w:val="00663EB2"/>
    <w:rsid w:val="00664609"/>
    <w:rsid w:val="00664625"/>
    <w:rsid w:val="006666F0"/>
    <w:rsid w:val="006721FD"/>
    <w:rsid w:val="00675AB5"/>
    <w:rsid w:val="006761D1"/>
    <w:rsid w:val="00680318"/>
    <w:rsid w:val="00680B74"/>
    <w:rsid w:val="006818CB"/>
    <w:rsid w:val="00681DDA"/>
    <w:rsid w:val="0068529F"/>
    <w:rsid w:val="006853B7"/>
    <w:rsid w:val="00686747"/>
    <w:rsid w:val="00687FC3"/>
    <w:rsid w:val="006909B3"/>
    <w:rsid w:val="006913F8"/>
    <w:rsid w:val="00691B1E"/>
    <w:rsid w:val="00691B40"/>
    <w:rsid w:val="00693793"/>
    <w:rsid w:val="00693A71"/>
    <w:rsid w:val="00695A19"/>
    <w:rsid w:val="006A06B9"/>
    <w:rsid w:val="006A0D5B"/>
    <w:rsid w:val="006A261D"/>
    <w:rsid w:val="006A35DD"/>
    <w:rsid w:val="006A3CDA"/>
    <w:rsid w:val="006A3D01"/>
    <w:rsid w:val="006A7F56"/>
    <w:rsid w:val="006A7FC2"/>
    <w:rsid w:val="006B0C33"/>
    <w:rsid w:val="006B3A4B"/>
    <w:rsid w:val="006B6CB3"/>
    <w:rsid w:val="006B7441"/>
    <w:rsid w:val="006B7DB1"/>
    <w:rsid w:val="006C1340"/>
    <w:rsid w:val="006C1E76"/>
    <w:rsid w:val="006C2813"/>
    <w:rsid w:val="006C2EEC"/>
    <w:rsid w:val="006C3EE5"/>
    <w:rsid w:val="006C4497"/>
    <w:rsid w:val="006C4D02"/>
    <w:rsid w:val="006C5560"/>
    <w:rsid w:val="006C5BC4"/>
    <w:rsid w:val="006C643E"/>
    <w:rsid w:val="006CEEBA"/>
    <w:rsid w:val="006D118B"/>
    <w:rsid w:val="006D2526"/>
    <w:rsid w:val="006D6392"/>
    <w:rsid w:val="006E0022"/>
    <w:rsid w:val="006E281A"/>
    <w:rsid w:val="006E34D0"/>
    <w:rsid w:val="006E5310"/>
    <w:rsid w:val="006E546F"/>
    <w:rsid w:val="006E5981"/>
    <w:rsid w:val="006E777C"/>
    <w:rsid w:val="006E7EA8"/>
    <w:rsid w:val="006F0D69"/>
    <w:rsid w:val="006F169C"/>
    <w:rsid w:val="006F170D"/>
    <w:rsid w:val="006F297E"/>
    <w:rsid w:val="006F5C6F"/>
    <w:rsid w:val="006F7A29"/>
    <w:rsid w:val="006F7CB3"/>
    <w:rsid w:val="007023B2"/>
    <w:rsid w:val="0070375A"/>
    <w:rsid w:val="00705BFD"/>
    <w:rsid w:val="0070784B"/>
    <w:rsid w:val="00707B0F"/>
    <w:rsid w:val="00711370"/>
    <w:rsid w:val="00714846"/>
    <w:rsid w:val="00716958"/>
    <w:rsid w:val="007207E4"/>
    <w:rsid w:val="00721042"/>
    <w:rsid w:val="00724799"/>
    <w:rsid w:val="0072615F"/>
    <w:rsid w:val="00732F33"/>
    <w:rsid w:val="00733984"/>
    <w:rsid w:val="007358CE"/>
    <w:rsid w:val="0073698E"/>
    <w:rsid w:val="007369FD"/>
    <w:rsid w:val="00737A5F"/>
    <w:rsid w:val="00740F95"/>
    <w:rsid w:val="00742A2A"/>
    <w:rsid w:val="00742D15"/>
    <w:rsid w:val="00743223"/>
    <w:rsid w:val="00743F2B"/>
    <w:rsid w:val="007454B9"/>
    <w:rsid w:val="00745B2A"/>
    <w:rsid w:val="00747679"/>
    <w:rsid w:val="00750FE5"/>
    <w:rsid w:val="00751630"/>
    <w:rsid w:val="00751B97"/>
    <w:rsid w:val="007531C4"/>
    <w:rsid w:val="00753A70"/>
    <w:rsid w:val="00754945"/>
    <w:rsid w:val="00755571"/>
    <w:rsid w:val="007577DB"/>
    <w:rsid w:val="00758781"/>
    <w:rsid w:val="00760E66"/>
    <w:rsid w:val="00761C60"/>
    <w:rsid w:val="00762C26"/>
    <w:rsid w:val="00763211"/>
    <w:rsid w:val="007641A7"/>
    <w:rsid w:val="007644D1"/>
    <w:rsid w:val="007644EB"/>
    <w:rsid w:val="0076540B"/>
    <w:rsid w:val="007710E7"/>
    <w:rsid w:val="00772BCA"/>
    <w:rsid w:val="0077668B"/>
    <w:rsid w:val="007776CE"/>
    <w:rsid w:val="00780046"/>
    <w:rsid w:val="00780A83"/>
    <w:rsid w:val="007819DD"/>
    <w:rsid w:val="00781D4D"/>
    <w:rsid w:val="0078455E"/>
    <w:rsid w:val="007953B7"/>
    <w:rsid w:val="007968CA"/>
    <w:rsid w:val="00796CA7"/>
    <w:rsid w:val="007A049D"/>
    <w:rsid w:val="007A24DF"/>
    <w:rsid w:val="007A40FB"/>
    <w:rsid w:val="007A63DD"/>
    <w:rsid w:val="007B1A9C"/>
    <w:rsid w:val="007B1C99"/>
    <w:rsid w:val="007B30A2"/>
    <w:rsid w:val="007B3904"/>
    <w:rsid w:val="007B5FB6"/>
    <w:rsid w:val="007B730B"/>
    <w:rsid w:val="007B745F"/>
    <w:rsid w:val="007C0D01"/>
    <w:rsid w:val="007C25E0"/>
    <w:rsid w:val="007C3959"/>
    <w:rsid w:val="007C4097"/>
    <w:rsid w:val="007C5286"/>
    <w:rsid w:val="007C5D5C"/>
    <w:rsid w:val="007C62D8"/>
    <w:rsid w:val="007C6632"/>
    <w:rsid w:val="007C68A4"/>
    <w:rsid w:val="007C72CC"/>
    <w:rsid w:val="007D010D"/>
    <w:rsid w:val="007D01F6"/>
    <w:rsid w:val="007D0359"/>
    <w:rsid w:val="007D1CC1"/>
    <w:rsid w:val="007D3C5D"/>
    <w:rsid w:val="007F18F9"/>
    <w:rsid w:val="007F25B4"/>
    <w:rsid w:val="007F2A5B"/>
    <w:rsid w:val="007F6088"/>
    <w:rsid w:val="007F7683"/>
    <w:rsid w:val="007F7F9B"/>
    <w:rsid w:val="00800F49"/>
    <w:rsid w:val="00802574"/>
    <w:rsid w:val="00803042"/>
    <w:rsid w:val="008043C0"/>
    <w:rsid w:val="008044C2"/>
    <w:rsid w:val="008060DE"/>
    <w:rsid w:val="00806A1D"/>
    <w:rsid w:val="00806C02"/>
    <w:rsid w:val="0080756E"/>
    <w:rsid w:val="00807B89"/>
    <w:rsid w:val="008106C1"/>
    <w:rsid w:val="00810F2C"/>
    <w:rsid w:val="00811EA1"/>
    <w:rsid w:val="00813D71"/>
    <w:rsid w:val="00814EB6"/>
    <w:rsid w:val="00814EEE"/>
    <w:rsid w:val="00815B59"/>
    <w:rsid w:val="00815B6A"/>
    <w:rsid w:val="00823B41"/>
    <w:rsid w:val="00825F78"/>
    <w:rsid w:val="00826D89"/>
    <w:rsid w:val="0082700C"/>
    <w:rsid w:val="00827095"/>
    <w:rsid w:val="00831855"/>
    <w:rsid w:val="00831D84"/>
    <w:rsid w:val="008327AB"/>
    <w:rsid w:val="00834459"/>
    <w:rsid w:val="00835736"/>
    <w:rsid w:val="00835D56"/>
    <w:rsid w:val="008369AD"/>
    <w:rsid w:val="0084074A"/>
    <w:rsid w:val="00840D83"/>
    <w:rsid w:val="008501BF"/>
    <w:rsid w:val="008520E2"/>
    <w:rsid w:val="00852FA1"/>
    <w:rsid w:val="00853537"/>
    <w:rsid w:val="00856519"/>
    <w:rsid w:val="00860213"/>
    <w:rsid w:val="008603FF"/>
    <w:rsid w:val="0086137B"/>
    <w:rsid w:val="00862D9B"/>
    <w:rsid w:val="0086323A"/>
    <w:rsid w:val="00864F9E"/>
    <w:rsid w:val="008653A1"/>
    <w:rsid w:val="00867C7F"/>
    <w:rsid w:val="0087038E"/>
    <w:rsid w:val="00870772"/>
    <w:rsid w:val="00870B83"/>
    <w:rsid w:val="00872193"/>
    <w:rsid w:val="0087248E"/>
    <w:rsid w:val="00872CDD"/>
    <w:rsid w:val="00872DBB"/>
    <w:rsid w:val="00873EEA"/>
    <w:rsid w:val="008746CB"/>
    <w:rsid w:val="00874C05"/>
    <w:rsid w:val="00875B30"/>
    <w:rsid w:val="00877803"/>
    <w:rsid w:val="00880FAF"/>
    <w:rsid w:val="00882A5B"/>
    <w:rsid w:val="00884623"/>
    <w:rsid w:val="008877E5"/>
    <w:rsid w:val="0088797B"/>
    <w:rsid w:val="00893456"/>
    <w:rsid w:val="008969F7"/>
    <w:rsid w:val="00896BFF"/>
    <w:rsid w:val="008A1F47"/>
    <w:rsid w:val="008A36AD"/>
    <w:rsid w:val="008A6F64"/>
    <w:rsid w:val="008B0557"/>
    <w:rsid w:val="008B4110"/>
    <w:rsid w:val="008B41E5"/>
    <w:rsid w:val="008B4379"/>
    <w:rsid w:val="008B4594"/>
    <w:rsid w:val="008B513E"/>
    <w:rsid w:val="008B6BA7"/>
    <w:rsid w:val="008C074F"/>
    <w:rsid w:val="008C20AC"/>
    <w:rsid w:val="008C4102"/>
    <w:rsid w:val="008C6CF7"/>
    <w:rsid w:val="008C730E"/>
    <w:rsid w:val="008C7E85"/>
    <w:rsid w:val="008D0638"/>
    <w:rsid w:val="008D1C45"/>
    <w:rsid w:val="008D1DE2"/>
    <w:rsid w:val="008D5EA6"/>
    <w:rsid w:val="008D7966"/>
    <w:rsid w:val="008E0BDC"/>
    <w:rsid w:val="008E2748"/>
    <w:rsid w:val="008E37C3"/>
    <w:rsid w:val="008E429F"/>
    <w:rsid w:val="008E58E9"/>
    <w:rsid w:val="008E6310"/>
    <w:rsid w:val="008E76B2"/>
    <w:rsid w:val="008F68E6"/>
    <w:rsid w:val="009009D3"/>
    <w:rsid w:val="0090200C"/>
    <w:rsid w:val="009042B2"/>
    <w:rsid w:val="00905EE7"/>
    <w:rsid w:val="0090627D"/>
    <w:rsid w:val="00907D31"/>
    <w:rsid w:val="009112D6"/>
    <w:rsid w:val="009135A5"/>
    <w:rsid w:val="009148B4"/>
    <w:rsid w:val="009173AC"/>
    <w:rsid w:val="009175DD"/>
    <w:rsid w:val="0092194C"/>
    <w:rsid w:val="00930D4E"/>
    <w:rsid w:val="00932857"/>
    <w:rsid w:val="00933A73"/>
    <w:rsid w:val="009363FF"/>
    <w:rsid w:val="0093688A"/>
    <w:rsid w:val="00937A2E"/>
    <w:rsid w:val="00944B83"/>
    <w:rsid w:val="00944E01"/>
    <w:rsid w:val="00946B3F"/>
    <w:rsid w:val="009501A9"/>
    <w:rsid w:val="00950D0D"/>
    <w:rsid w:val="0095289A"/>
    <w:rsid w:val="00952A72"/>
    <w:rsid w:val="0095480D"/>
    <w:rsid w:val="00954DF4"/>
    <w:rsid w:val="00955685"/>
    <w:rsid w:val="00957C0B"/>
    <w:rsid w:val="009665F1"/>
    <w:rsid w:val="0096683E"/>
    <w:rsid w:val="00973533"/>
    <w:rsid w:val="0097559E"/>
    <w:rsid w:val="0097622D"/>
    <w:rsid w:val="009805D1"/>
    <w:rsid w:val="00981E75"/>
    <w:rsid w:val="00983C22"/>
    <w:rsid w:val="0098562A"/>
    <w:rsid w:val="00985941"/>
    <w:rsid w:val="00986850"/>
    <w:rsid w:val="00987A48"/>
    <w:rsid w:val="009939C2"/>
    <w:rsid w:val="009949CF"/>
    <w:rsid w:val="009951D1"/>
    <w:rsid w:val="00996A28"/>
    <w:rsid w:val="009A1343"/>
    <w:rsid w:val="009A244B"/>
    <w:rsid w:val="009A3301"/>
    <w:rsid w:val="009A4CF8"/>
    <w:rsid w:val="009A750A"/>
    <w:rsid w:val="009A7E7C"/>
    <w:rsid w:val="009B08C9"/>
    <w:rsid w:val="009B2BD5"/>
    <w:rsid w:val="009C6862"/>
    <w:rsid w:val="009C69D1"/>
    <w:rsid w:val="009D04F8"/>
    <w:rsid w:val="009D18FC"/>
    <w:rsid w:val="009D27F9"/>
    <w:rsid w:val="009D2A0C"/>
    <w:rsid w:val="009D2A42"/>
    <w:rsid w:val="009D5614"/>
    <w:rsid w:val="009D6BAB"/>
    <w:rsid w:val="009E0D5D"/>
    <w:rsid w:val="009E3ABE"/>
    <w:rsid w:val="009E6952"/>
    <w:rsid w:val="009E6B9A"/>
    <w:rsid w:val="009F1238"/>
    <w:rsid w:val="009F3EB9"/>
    <w:rsid w:val="009F4403"/>
    <w:rsid w:val="00A002B2"/>
    <w:rsid w:val="00A00560"/>
    <w:rsid w:val="00A040B2"/>
    <w:rsid w:val="00A05877"/>
    <w:rsid w:val="00A06B88"/>
    <w:rsid w:val="00A10C8D"/>
    <w:rsid w:val="00A11010"/>
    <w:rsid w:val="00A121BE"/>
    <w:rsid w:val="00A124BD"/>
    <w:rsid w:val="00A14B5D"/>
    <w:rsid w:val="00A1740D"/>
    <w:rsid w:val="00A178FA"/>
    <w:rsid w:val="00A2102A"/>
    <w:rsid w:val="00A21250"/>
    <w:rsid w:val="00A21BFA"/>
    <w:rsid w:val="00A237CC"/>
    <w:rsid w:val="00A239E9"/>
    <w:rsid w:val="00A24E7E"/>
    <w:rsid w:val="00A27632"/>
    <w:rsid w:val="00A305C0"/>
    <w:rsid w:val="00A30B2F"/>
    <w:rsid w:val="00A30CA2"/>
    <w:rsid w:val="00A311EC"/>
    <w:rsid w:val="00A31396"/>
    <w:rsid w:val="00A3271C"/>
    <w:rsid w:val="00A3563F"/>
    <w:rsid w:val="00A37834"/>
    <w:rsid w:val="00A379D0"/>
    <w:rsid w:val="00A406C2"/>
    <w:rsid w:val="00A40702"/>
    <w:rsid w:val="00A40858"/>
    <w:rsid w:val="00A40E79"/>
    <w:rsid w:val="00A41D2C"/>
    <w:rsid w:val="00A41EE1"/>
    <w:rsid w:val="00A438DA"/>
    <w:rsid w:val="00A45CA9"/>
    <w:rsid w:val="00A512AB"/>
    <w:rsid w:val="00A554CC"/>
    <w:rsid w:val="00A57515"/>
    <w:rsid w:val="00A57BEE"/>
    <w:rsid w:val="00A57E42"/>
    <w:rsid w:val="00A60798"/>
    <w:rsid w:val="00A608A2"/>
    <w:rsid w:val="00A62057"/>
    <w:rsid w:val="00A635D9"/>
    <w:rsid w:val="00A6586C"/>
    <w:rsid w:val="00A67404"/>
    <w:rsid w:val="00A72917"/>
    <w:rsid w:val="00A738DB"/>
    <w:rsid w:val="00A76331"/>
    <w:rsid w:val="00A80C22"/>
    <w:rsid w:val="00A8239E"/>
    <w:rsid w:val="00A82C5F"/>
    <w:rsid w:val="00A82DD2"/>
    <w:rsid w:val="00A857C9"/>
    <w:rsid w:val="00A85EA0"/>
    <w:rsid w:val="00A866B8"/>
    <w:rsid w:val="00A91389"/>
    <w:rsid w:val="00A9581F"/>
    <w:rsid w:val="00A97EE7"/>
    <w:rsid w:val="00AB0BBD"/>
    <w:rsid w:val="00AB0D0F"/>
    <w:rsid w:val="00AB3114"/>
    <w:rsid w:val="00AB396A"/>
    <w:rsid w:val="00AB3C56"/>
    <w:rsid w:val="00AB3E03"/>
    <w:rsid w:val="00AB6449"/>
    <w:rsid w:val="00AB64A7"/>
    <w:rsid w:val="00AC1538"/>
    <w:rsid w:val="00AC2041"/>
    <w:rsid w:val="00AC4303"/>
    <w:rsid w:val="00AC4B47"/>
    <w:rsid w:val="00AC4CF0"/>
    <w:rsid w:val="00AC6350"/>
    <w:rsid w:val="00AC75DC"/>
    <w:rsid w:val="00AD09CC"/>
    <w:rsid w:val="00AD374F"/>
    <w:rsid w:val="00AD3B5E"/>
    <w:rsid w:val="00AD54DB"/>
    <w:rsid w:val="00AD5C27"/>
    <w:rsid w:val="00AD62D2"/>
    <w:rsid w:val="00AD77F2"/>
    <w:rsid w:val="00AE0DE0"/>
    <w:rsid w:val="00AE1559"/>
    <w:rsid w:val="00AE1CB1"/>
    <w:rsid w:val="00AE2702"/>
    <w:rsid w:val="00AE5EDF"/>
    <w:rsid w:val="00AE6670"/>
    <w:rsid w:val="00AE67EA"/>
    <w:rsid w:val="00AF72A3"/>
    <w:rsid w:val="00AF74B0"/>
    <w:rsid w:val="00B014AA"/>
    <w:rsid w:val="00B0201E"/>
    <w:rsid w:val="00B044AE"/>
    <w:rsid w:val="00B06F68"/>
    <w:rsid w:val="00B0751F"/>
    <w:rsid w:val="00B11AA1"/>
    <w:rsid w:val="00B12AB4"/>
    <w:rsid w:val="00B12ADD"/>
    <w:rsid w:val="00B1422F"/>
    <w:rsid w:val="00B16B49"/>
    <w:rsid w:val="00B22EE5"/>
    <w:rsid w:val="00B232F6"/>
    <w:rsid w:val="00B23442"/>
    <w:rsid w:val="00B257F0"/>
    <w:rsid w:val="00B26A23"/>
    <w:rsid w:val="00B3112C"/>
    <w:rsid w:val="00B33686"/>
    <w:rsid w:val="00B35D63"/>
    <w:rsid w:val="00B36484"/>
    <w:rsid w:val="00B36CA2"/>
    <w:rsid w:val="00B42F1B"/>
    <w:rsid w:val="00B46E65"/>
    <w:rsid w:val="00B528D9"/>
    <w:rsid w:val="00B543B5"/>
    <w:rsid w:val="00B57046"/>
    <w:rsid w:val="00B612EC"/>
    <w:rsid w:val="00B62340"/>
    <w:rsid w:val="00B63002"/>
    <w:rsid w:val="00B6420F"/>
    <w:rsid w:val="00B64364"/>
    <w:rsid w:val="00B67DE1"/>
    <w:rsid w:val="00B71030"/>
    <w:rsid w:val="00B715FF"/>
    <w:rsid w:val="00B71F5E"/>
    <w:rsid w:val="00B72F90"/>
    <w:rsid w:val="00B73BD9"/>
    <w:rsid w:val="00B816D2"/>
    <w:rsid w:val="00B81FB3"/>
    <w:rsid w:val="00B82487"/>
    <w:rsid w:val="00B848DC"/>
    <w:rsid w:val="00B866BD"/>
    <w:rsid w:val="00B93D2E"/>
    <w:rsid w:val="00B94743"/>
    <w:rsid w:val="00B94A36"/>
    <w:rsid w:val="00B97128"/>
    <w:rsid w:val="00B976E4"/>
    <w:rsid w:val="00B97E6E"/>
    <w:rsid w:val="00BA0406"/>
    <w:rsid w:val="00BA28F9"/>
    <w:rsid w:val="00BA2B7C"/>
    <w:rsid w:val="00BA2D5F"/>
    <w:rsid w:val="00BA4AB5"/>
    <w:rsid w:val="00BA6AD7"/>
    <w:rsid w:val="00BA7EF2"/>
    <w:rsid w:val="00BB03F1"/>
    <w:rsid w:val="00BB1DCF"/>
    <w:rsid w:val="00BB3E60"/>
    <w:rsid w:val="00BB4210"/>
    <w:rsid w:val="00BB7373"/>
    <w:rsid w:val="00BC05DE"/>
    <w:rsid w:val="00BC2986"/>
    <w:rsid w:val="00BC4040"/>
    <w:rsid w:val="00BC4754"/>
    <w:rsid w:val="00BC488E"/>
    <w:rsid w:val="00BC59AE"/>
    <w:rsid w:val="00BC5FA5"/>
    <w:rsid w:val="00BD340C"/>
    <w:rsid w:val="00BE1AD4"/>
    <w:rsid w:val="00BE29D9"/>
    <w:rsid w:val="00BE2A20"/>
    <w:rsid w:val="00BE2DF2"/>
    <w:rsid w:val="00BE55DC"/>
    <w:rsid w:val="00BE5DF1"/>
    <w:rsid w:val="00BE6AD3"/>
    <w:rsid w:val="00BE6E0D"/>
    <w:rsid w:val="00BF4159"/>
    <w:rsid w:val="00BF6B6C"/>
    <w:rsid w:val="00BF6D6A"/>
    <w:rsid w:val="00C0025E"/>
    <w:rsid w:val="00C02412"/>
    <w:rsid w:val="00C02EA8"/>
    <w:rsid w:val="00C064C8"/>
    <w:rsid w:val="00C10D9D"/>
    <w:rsid w:val="00C115C2"/>
    <w:rsid w:val="00C11AB0"/>
    <w:rsid w:val="00C1216D"/>
    <w:rsid w:val="00C1257C"/>
    <w:rsid w:val="00C1522F"/>
    <w:rsid w:val="00C16318"/>
    <w:rsid w:val="00C17DDF"/>
    <w:rsid w:val="00C2062C"/>
    <w:rsid w:val="00C213C2"/>
    <w:rsid w:val="00C217DF"/>
    <w:rsid w:val="00C227EC"/>
    <w:rsid w:val="00C231AE"/>
    <w:rsid w:val="00C234FC"/>
    <w:rsid w:val="00C238D8"/>
    <w:rsid w:val="00C24CE3"/>
    <w:rsid w:val="00C24FE9"/>
    <w:rsid w:val="00C2715B"/>
    <w:rsid w:val="00C30E05"/>
    <w:rsid w:val="00C31329"/>
    <w:rsid w:val="00C31441"/>
    <w:rsid w:val="00C328CC"/>
    <w:rsid w:val="00C32988"/>
    <w:rsid w:val="00C34E35"/>
    <w:rsid w:val="00C409A5"/>
    <w:rsid w:val="00C45B5E"/>
    <w:rsid w:val="00C46294"/>
    <w:rsid w:val="00C464D5"/>
    <w:rsid w:val="00C46597"/>
    <w:rsid w:val="00C46872"/>
    <w:rsid w:val="00C46F97"/>
    <w:rsid w:val="00C471C4"/>
    <w:rsid w:val="00C47908"/>
    <w:rsid w:val="00C506D3"/>
    <w:rsid w:val="00C50FF3"/>
    <w:rsid w:val="00C51B20"/>
    <w:rsid w:val="00C51F57"/>
    <w:rsid w:val="00C53D29"/>
    <w:rsid w:val="00C5647F"/>
    <w:rsid w:val="00C56A46"/>
    <w:rsid w:val="00C57E87"/>
    <w:rsid w:val="00C60286"/>
    <w:rsid w:val="00C61DF5"/>
    <w:rsid w:val="00C646A8"/>
    <w:rsid w:val="00C6547C"/>
    <w:rsid w:val="00C66147"/>
    <w:rsid w:val="00C663C0"/>
    <w:rsid w:val="00C67308"/>
    <w:rsid w:val="00C72800"/>
    <w:rsid w:val="00C731A0"/>
    <w:rsid w:val="00C76B8E"/>
    <w:rsid w:val="00C80B2D"/>
    <w:rsid w:val="00C80DDE"/>
    <w:rsid w:val="00C8199C"/>
    <w:rsid w:val="00C840D8"/>
    <w:rsid w:val="00C84E10"/>
    <w:rsid w:val="00C85349"/>
    <w:rsid w:val="00C86AF1"/>
    <w:rsid w:val="00C86CA0"/>
    <w:rsid w:val="00C87D99"/>
    <w:rsid w:val="00C9029F"/>
    <w:rsid w:val="00C9039F"/>
    <w:rsid w:val="00C905A0"/>
    <w:rsid w:val="00C92477"/>
    <w:rsid w:val="00C92A32"/>
    <w:rsid w:val="00C96C49"/>
    <w:rsid w:val="00CA27B7"/>
    <w:rsid w:val="00CA2B08"/>
    <w:rsid w:val="00CA2E95"/>
    <w:rsid w:val="00CA72E5"/>
    <w:rsid w:val="00CA7572"/>
    <w:rsid w:val="00CA7F74"/>
    <w:rsid w:val="00CB0C32"/>
    <w:rsid w:val="00CB2B79"/>
    <w:rsid w:val="00CB2D65"/>
    <w:rsid w:val="00CB5469"/>
    <w:rsid w:val="00CB6246"/>
    <w:rsid w:val="00CC0759"/>
    <w:rsid w:val="00CC3160"/>
    <w:rsid w:val="00CD2DBF"/>
    <w:rsid w:val="00CD4E24"/>
    <w:rsid w:val="00CD6207"/>
    <w:rsid w:val="00CD72A6"/>
    <w:rsid w:val="00CE39B8"/>
    <w:rsid w:val="00CE4A83"/>
    <w:rsid w:val="00CE4E94"/>
    <w:rsid w:val="00CE525E"/>
    <w:rsid w:val="00CE5788"/>
    <w:rsid w:val="00CE7657"/>
    <w:rsid w:val="00CF1689"/>
    <w:rsid w:val="00CF1BBC"/>
    <w:rsid w:val="00CF4344"/>
    <w:rsid w:val="00CF5164"/>
    <w:rsid w:val="00CF55E6"/>
    <w:rsid w:val="00CF5B88"/>
    <w:rsid w:val="00CF72D7"/>
    <w:rsid w:val="00D00689"/>
    <w:rsid w:val="00D014A6"/>
    <w:rsid w:val="00D015A4"/>
    <w:rsid w:val="00D02F69"/>
    <w:rsid w:val="00D03674"/>
    <w:rsid w:val="00D044FB"/>
    <w:rsid w:val="00D04D3F"/>
    <w:rsid w:val="00D108BF"/>
    <w:rsid w:val="00D1092B"/>
    <w:rsid w:val="00D140E4"/>
    <w:rsid w:val="00D1423F"/>
    <w:rsid w:val="00D167D0"/>
    <w:rsid w:val="00D177A0"/>
    <w:rsid w:val="00D20092"/>
    <w:rsid w:val="00D22E65"/>
    <w:rsid w:val="00D22EAF"/>
    <w:rsid w:val="00D2430E"/>
    <w:rsid w:val="00D24B88"/>
    <w:rsid w:val="00D2717B"/>
    <w:rsid w:val="00D27622"/>
    <w:rsid w:val="00D27952"/>
    <w:rsid w:val="00D302BB"/>
    <w:rsid w:val="00D3078B"/>
    <w:rsid w:val="00D3118E"/>
    <w:rsid w:val="00D31384"/>
    <w:rsid w:val="00D32A79"/>
    <w:rsid w:val="00D34BC5"/>
    <w:rsid w:val="00D36BA1"/>
    <w:rsid w:val="00D36C76"/>
    <w:rsid w:val="00D3743E"/>
    <w:rsid w:val="00D37F07"/>
    <w:rsid w:val="00D41B10"/>
    <w:rsid w:val="00D41BB8"/>
    <w:rsid w:val="00D444E3"/>
    <w:rsid w:val="00D47718"/>
    <w:rsid w:val="00D47E77"/>
    <w:rsid w:val="00D52AFA"/>
    <w:rsid w:val="00D5566B"/>
    <w:rsid w:val="00D606D4"/>
    <w:rsid w:val="00D644F4"/>
    <w:rsid w:val="00D67178"/>
    <w:rsid w:val="00D67892"/>
    <w:rsid w:val="00D7119E"/>
    <w:rsid w:val="00D73374"/>
    <w:rsid w:val="00D747D8"/>
    <w:rsid w:val="00D74A5E"/>
    <w:rsid w:val="00D7590F"/>
    <w:rsid w:val="00D75ED8"/>
    <w:rsid w:val="00D76626"/>
    <w:rsid w:val="00D85656"/>
    <w:rsid w:val="00D8624B"/>
    <w:rsid w:val="00D942FC"/>
    <w:rsid w:val="00D97333"/>
    <w:rsid w:val="00DA0037"/>
    <w:rsid w:val="00DA0143"/>
    <w:rsid w:val="00DA023B"/>
    <w:rsid w:val="00DA0378"/>
    <w:rsid w:val="00DA0EA5"/>
    <w:rsid w:val="00DA1215"/>
    <w:rsid w:val="00DA33AC"/>
    <w:rsid w:val="00DA365B"/>
    <w:rsid w:val="00DA3DB0"/>
    <w:rsid w:val="00DA4D73"/>
    <w:rsid w:val="00DA7717"/>
    <w:rsid w:val="00DB5950"/>
    <w:rsid w:val="00DB62E8"/>
    <w:rsid w:val="00DB65A3"/>
    <w:rsid w:val="00DB78FC"/>
    <w:rsid w:val="00DB7E4B"/>
    <w:rsid w:val="00DC0F37"/>
    <w:rsid w:val="00DC18AE"/>
    <w:rsid w:val="00DC57CD"/>
    <w:rsid w:val="00DC58F4"/>
    <w:rsid w:val="00DC5BFB"/>
    <w:rsid w:val="00DD39E2"/>
    <w:rsid w:val="00DD3EA6"/>
    <w:rsid w:val="00DD588C"/>
    <w:rsid w:val="00DD5CF9"/>
    <w:rsid w:val="00DE0022"/>
    <w:rsid w:val="00DE08B3"/>
    <w:rsid w:val="00DE1A41"/>
    <w:rsid w:val="00DE1CCE"/>
    <w:rsid w:val="00DE1D8B"/>
    <w:rsid w:val="00DE2C1D"/>
    <w:rsid w:val="00DE3159"/>
    <w:rsid w:val="00DE49E1"/>
    <w:rsid w:val="00DE596C"/>
    <w:rsid w:val="00DE597F"/>
    <w:rsid w:val="00DE7206"/>
    <w:rsid w:val="00DF0CB9"/>
    <w:rsid w:val="00DF172C"/>
    <w:rsid w:val="00DF5286"/>
    <w:rsid w:val="00DF79B3"/>
    <w:rsid w:val="00DF7FEE"/>
    <w:rsid w:val="00DF7FFC"/>
    <w:rsid w:val="00E01C0F"/>
    <w:rsid w:val="00E01D1F"/>
    <w:rsid w:val="00E055E6"/>
    <w:rsid w:val="00E0562C"/>
    <w:rsid w:val="00E05F4B"/>
    <w:rsid w:val="00E06A9D"/>
    <w:rsid w:val="00E07146"/>
    <w:rsid w:val="00E0783E"/>
    <w:rsid w:val="00E1413E"/>
    <w:rsid w:val="00E15F80"/>
    <w:rsid w:val="00E23775"/>
    <w:rsid w:val="00E26DB0"/>
    <w:rsid w:val="00E277FE"/>
    <w:rsid w:val="00E30D11"/>
    <w:rsid w:val="00E30E4D"/>
    <w:rsid w:val="00E315FC"/>
    <w:rsid w:val="00E323AE"/>
    <w:rsid w:val="00E352A5"/>
    <w:rsid w:val="00E36ACE"/>
    <w:rsid w:val="00E36B78"/>
    <w:rsid w:val="00E4061D"/>
    <w:rsid w:val="00E407E0"/>
    <w:rsid w:val="00E40C21"/>
    <w:rsid w:val="00E40DD3"/>
    <w:rsid w:val="00E410F8"/>
    <w:rsid w:val="00E41313"/>
    <w:rsid w:val="00E433F1"/>
    <w:rsid w:val="00E442CC"/>
    <w:rsid w:val="00E475A9"/>
    <w:rsid w:val="00E51CEC"/>
    <w:rsid w:val="00E52715"/>
    <w:rsid w:val="00E55054"/>
    <w:rsid w:val="00E570B7"/>
    <w:rsid w:val="00E573AC"/>
    <w:rsid w:val="00E579E2"/>
    <w:rsid w:val="00E57B24"/>
    <w:rsid w:val="00E60826"/>
    <w:rsid w:val="00E6120F"/>
    <w:rsid w:val="00E63092"/>
    <w:rsid w:val="00E63CB4"/>
    <w:rsid w:val="00E657B8"/>
    <w:rsid w:val="00E65AC2"/>
    <w:rsid w:val="00E65ED0"/>
    <w:rsid w:val="00E66116"/>
    <w:rsid w:val="00E7038F"/>
    <w:rsid w:val="00E7489D"/>
    <w:rsid w:val="00E753E2"/>
    <w:rsid w:val="00E7548B"/>
    <w:rsid w:val="00E75C04"/>
    <w:rsid w:val="00E768ED"/>
    <w:rsid w:val="00E76C1B"/>
    <w:rsid w:val="00E773FF"/>
    <w:rsid w:val="00E77A3D"/>
    <w:rsid w:val="00E80627"/>
    <w:rsid w:val="00E812DD"/>
    <w:rsid w:val="00E817BE"/>
    <w:rsid w:val="00E82472"/>
    <w:rsid w:val="00E8625D"/>
    <w:rsid w:val="00E956CF"/>
    <w:rsid w:val="00EA0D2B"/>
    <w:rsid w:val="00EA114E"/>
    <w:rsid w:val="00EA1341"/>
    <w:rsid w:val="00EA1C66"/>
    <w:rsid w:val="00EA2D1C"/>
    <w:rsid w:val="00EB4AE9"/>
    <w:rsid w:val="00EB5738"/>
    <w:rsid w:val="00EB594E"/>
    <w:rsid w:val="00EB65DE"/>
    <w:rsid w:val="00EC21BE"/>
    <w:rsid w:val="00EC3938"/>
    <w:rsid w:val="00EC3F2E"/>
    <w:rsid w:val="00EC4D13"/>
    <w:rsid w:val="00EC4F17"/>
    <w:rsid w:val="00EC5E16"/>
    <w:rsid w:val="00EC643A"/>
    <w:rsid w:val="00EC6B5C"/>
    <w:rsid w:val="00ED244D"/>
    <w:rsid w:val="00ED293C"/>
    <w:rsid w:val="00ED4A00"/>
    <w:rsid w:val="00ED6D84"/>
    <w:rsid w:val="00ED7ED8"/>
    <w:rsid w:val="00EE0E86"/>
    <w:rsid w:val="00EE16C6"/>
    <w:rsid w:val="00EE36E8"/>
    <w:rsid w:val="00EE49E7"/>
    <w:rsid w:val="00EE503C"/>
    <w:rsid w:val="00EE54B9"/>
    <w:rsid w:val="00EE5A67"/>
    <w:rsid w:val="00EF035D"/>
    <w:rsid w:val="00EF11B5"/>
    <w:rsid w:val="00EF285C"/>
    <w:rsid w:val="00EF400D"/>
    <w:rsid w:val="00EF5A2C"/>
    <w:rsid w:val="00EF5E63"/>
    <w:rsid w:val="00EF7CCC"/>
    <w:rsid w:val="00F009C3"/>
    <w:rsid w:val="00F0134F"/>
    <w:rsid w:val="00F0366B"/>
    <w:rsid w:val="00F05DDD"/>
    <w:rsid w:val="00F07DC3"/>
    <w:rsid w:val="00F07E01"/>
    <w:rsid w:val="00F1198E"/>
    <w:rsid w:val="00F124B2"/>
    <w:rsid w:val="00F12B0C"/>
    <w:rsid w:val="00F13AC6"/>
    <w:rsid w:val="00F13D91"/>
    <w:rsid w:val="00F15CD5"/>
    <w:rsid w:val="00F16059"/>
    <w:rsid w:val="00F16393"/>
    <w:rsid w:val="00F20C42"/>
    <w:rsid w:val="00F210BE"/>
    <w:rsid w:val="00F23E8D"/>
    <w:rsid w:val="00F2533F"/>
    <w:rsid w:val="00F26DBD"/>
    <w:rsid w:val="00F30EEE"/>
    <w:rsid w:val="00F3483C"/>
    <w:rsid w:val="00F36D7A"/>
    <w:rsid w:val="00F400A4"/>
    <w:rsid w:val="00F41EF2"/>
    <w:rsid w:val="00F42218"/>
    <w:rsid w:val="00F440C9"/>
    <w:rsid w:val="00F45ABD"/>
    <w:rsid w:val="00F46CFF"/>
    <w:rsid w:val="00F4792B"/>
    <w:rsid w:val="00F47F82"/>
    <w:rsid w:val="00F52BFF"/>
    <w:rsid w:val="00F538A1"/>
    <w:rsid w:val="00F53E64"/>
    <w:rsid w:val="00F540B3"/>
    <w:rsid w:val="00F545EB"/>
    <w:rsid w:val="00F54999"/>
    <w:rsid w:val="00F56218"/>
    <w:rsid w:val="00F56615"/>
    <w:rsid w:val="00F5B347"/>
    <w:rsid w:val="00F601E2"/>
    <w:rsid w:val="00F676E2"/>
    <w:rsid w:val="00F71556"/>
    <w:rsid w:val="00F72E68"/>
    <w:rsid w:val="00F734C6"/>
    <w:rsid w:val="00F73845"/>
    <w:rsid w:val="00F7570C"/>
    <w:rsid w:val="00F75B3A"/>
    <w:rsid w:val="00F76366"/>
    <w:rsid w:val="00F81B07"/>
    <w:rsid w:val="00F82439"/>
    <w:rsid w:val="00F82B14"/>
    <w:rsid w:val="00F834B3"/>
    <w:rsid w:val="00F84712"/>
    <w:rsid w:val="00F8534B"/>
    <w:rsid w:val="00F86DC3"/>
    <w:rsid w:val="00F9009F"/>
    <w:rsid w:val="00F90B8D"/>
    <w:rsid w:val="00F91CB0"/>
    <w:rsid w:val="00F92885"/>
    <w:rsid w:val="00F939BC"/>
    <w:rsid w:val="00F93B56"/>
    <w:rsid w:val="00FA02CB"/>
    <w:rsid w:val="00FA1B12"/>
    <w:rsid w:val="00FA1ED8"/>
    <w:rsid w:val="00FA3477"/>
    <w:rsid w:val="00FA36F3"/>
    <w:rsid w:val="00FA70DF"/>
    <w:rsid w:val="00FB0353"/>
    <w:rsid w:val="00FB1B81"/>
    <w:rsid w:val="00FB41C9"/>
    <w:rsid w:val="00FB51C1"/>
    <w:rsid w:val="00FB5DAB"/>
    <w:rsid w:val="00FB6491"/>
    <w:rsid w:val="00FB67B6"/>
    <w:rsid w:val="00FB6ACA"/>
    <w:rsid w:val="00FBD9AA"/>
    <w:rsid w:val="00FC2C83"/>
    <w:rsid w:val="00FC327A"/>
    <w:rsid w:val="00FC3883"/>
    <w:rsid w:val="00FC3E07"/>
    <w:rsid w:val="00FC6061"/>
    <w:rsid w:val="00FD0EEF"/>
    <w:rsid w:val="00FD27D8"/>
    <w:rsid w:val="00FD2908"/>
    <w:rsid w:val="00FD3054"/>
    <w:rsid w:val="00FD3AC0"/>
    <w:rsid w:val="00FD6050"/>
    <w:rsid w:val="00FD662D"/>
    <w:rsid w:val="00FE0D43"/>
    <w:rsid w:val="00FE19A6"/>
    <w:rsid w:val="00FE1E79"/>
    <w:rsid w:val="00FE41B9"/>
    <w:rsid w:val="00FE5BFC"/>
    <w:rsid w:val="00FF026D"/>
    <w:rsid w:val="00FF2332"/>
    <w:rsid w:val="00FF2965"/>
    <w:rsid w:val="00FF302B"/>
    <w:rsid w:val="00FF4A25"/>
    <w:rsid w:val="00FF4D6B"/>
    <w:rsid w:val="00FF5897"/>
    <w:rsid w:val="00FF5FE1"/>
    <w:rsid w:val="01133551"/>
    <w:rsid w:val="01955D2E"/>
    <w:rsid w:val="01B352CE"/>
    <w:rsid w:val="020AAA71"/>
    <w:rsid w:val="023D7C38"/>
    <w:rsid w:val="0252AB02"/>
    <w:rsid w:val="025A133D"/>
    <w:rsid w:val="026AAA09"/>
    <w:rsid w:val="0271F3A5"/>
    <w:rsid w:val="027811FF"/>
    <w:rsid w:val="02A6C699"/>
    <w:rsid w:val="02A7177D"/>
    <w:rsid w:val="02B1BCF3"/>
    <w:rsid w:val="02EF2085"/>
    <w:rsid w:val="02FA5A5A"/>
    <w:rsid w:val="034FF1AE"/>
    <w:rsid w:val="036AD6E5"/>
    <w:rsid w:val="03739317"/>
    <w:rsid w:val="038F4969"/>
    <w:rsid w:val="04399ED7"/>
    <w:rsid w:val="045AAA22"/>
    <w:rsid w:val="04903506"/>
    <w:rsid w:val="04B28D63"/>
    <w:rsid w:val="04DE0EAA"/>
    <w:rsid w:val="04FCB2B0"/>
    <w:rsid w:val="052E4592"/>
    <w:rsid w:val="052EACB6"/>
    <w:rsid w:val="05954690"/>
    <w:rsid w:val="05BB4574"/>
    <w:rsid w:val="05CD4A6D"/>
    <w:rsid w:val="05D4401F"/>
    <w:rsid w:val="05E55499"/>
    <w:rsid w:val="05FAD7C0"/>
    <w:rsid w:val="0602C87A"/>
    <w:rsid w:val="06275EAB"/>
    <w:rsid w:val="062CF7CE"/>
    <w:rsid w:val="062FF3B0"/>
    <w:rsid w:val="06521FA2"/>
    <w:rsid w:val="067E7442"/>
    <w:rsid w:val="068A8E24"/>
    <w:rsid w:val="06AD43BC"/>
    <w:rsid w:val="06CF9531"/>
    <w:rsid w:val="06F8C368"/>
    <w:rsid w:val="06F99398"/>
    <w:rsid w:val="0718C701"/>
    <w:rsid w:val="07317A56"/>
    <w:rsid w:val="077E88B6"/>
    <w:rsid w:val="0789D097"/>
    <w:rsid w:val="078D74F9"/>
    <w:rsid w:val="07960039"/>
    <w:rsid w:val="07B8AC4B"/>
    <w:rsid w:val="07D75A50"/>
    <w:rsid w:val="07F074F2"/>
    <w:rsid w:val="07FA218C"/>
    <w:rsid w:val="082468DB"/>
    <w:rsid w:val="0847D9A6"/>
    <w:rsid w:val="08546826"/>
    <w:rsid w:val="08582369"/>
    <w:rsid w:val="085A5B6C"/>
    <w:rsid w:val="085A7E71"/>
    <w:rsid w:val="08A152EA"/>
    <w:rsid w:val="08C27C04"/>
    <w:rsid w:val="08E4A899"/>
    <w:rsid w:val="08EE9C1B"/>
    <w:rsid w:val="0902F293"/>
    <w:rsid w:val="09224D48"/>
    <w:rsid w:val="092E2A58"/>
    <w:rsid w:val="093F5695"/>
    <w:rsid w:val="09477AF5"/>
    <w:rsid w:val="0973CF29"/>
    <w:rsid w:val="098CEEA3"/>
    <w:rsid w:val="09A37111"/>
    <w:rsid w:val="09B50E85"/>
    <w:rsid w:val="09D9025E"/>
    <w:rsid w:val="0A53B4E8"/>
    <w:rsid w:val="0A54BCA5"/>
    <w:rsid w:val="0A62882F"/>
    <w:rsid w:val="0AAD4206"/>
    <w:rsid w:val="0AB0486A"/>
    <w:rsid w:val="0ABEFF1C"/>
    <w:rsid w:val="0AC3CF36"/>
    <w:rsid w:val="0AC5B56A"/>
    <w:rsid w:val="0AD15EC0"/>
    <w:rsid w:val="0ADB198C"/>
    <w:rsid w:val="0AF0531E"/>
    <w:rsid w:val="0B0A2177"/>
    <w:rsid w:val="0B1ECA08"/>
    <w:rsid w:val="0B233DD7"/>
    <w:rsid w:val="0B45CE4D"/>
    <w:rsid w:val="0B526C8D"/>
    <w:rsid w:val="0B6D68E5"/>
    <w:rsid w:val="0BD0EB3F"/>
    <w:rsid w:val="0C20674C"/>
    <w:rsid w:val="0C4E423A"/>
    <w:rsid w:val="0C677727"/>
    <w:rsid w:val="0C7D0BB1"/>
    <w:rsid w:val="0C98B5C8"/>
    <w:rsid w:val="0C99B58B"/>
    <w:rsid w:val="0CBA334B"/>
    <w:rsid w:val="0CDB960E"/>
    <w:rsid w:val="0CE020C4"/>
    <w:rsid w:val="0D068056"/>
    <w:rsid w:val="0D31A4DD"/>
    <w:rsid w:val="0D3605DD"/>
    <w:rsid w:val="0D3EDE97"/>
    <w:rsid w:val="0D598A97"/>
    <w:rsid w:val="0D5E1282"/>
    <w:rsid w:val="0D65612E"/>
    <w:rsid w:val="0D6A262F"/>
    <w:rsid w:val="0D7BAF5C"/>
    <w:rsid w:val="0D7FBFD9"/>
    <w:rsid w:val="0D8A9E07"/>
    <w:rsid w:val="0D937E63"/>
    <w:rsid w:val="0DADE7B9"/>
    <w:rsid w:val="0DC5C332"/>
    <w:rsid w:val="0DC8710D"/>
    <w:rsid w:val="0DE45265"/>
    <w:rsid w:val="0E08F5DB"/>
    <w:rsid w:val="0E0CC27C"/>
    <w:rsid w:val="0E1F31F3"/>
    <w:rsid w:val="0E2D027B"/>
    <w:rsid w:val="0E4BBF5C"/>
    <w:rsid w:val="0E753B8F"/>
    <w:rsid w:val="0E8BA4B2"/>
    <w:rsid w:val="0EA24CA2"/>
    <w:rsid w:val="0EAC2F8B"/>
    <w:rsid w:val="0EF650A5"/>
    <w:rsid w:val="0F8C4642"/>
    <w:rsid w:val="0F8F3B37"/>
    <w:rsid w:val="0FA7B9FC"/>
    <w:rsid w:val="100F505C"/>
    <w:rsid w:val="101BEE55"/>
    <w:rsid w:val="10329985"/>
    <w:rsid w:val="10703E6A"/>
    <w:rsid w:val="10789DEE"/>
    <w:rsid w:val="107A906B"/>
    <w:rsid w:val="109637DD"/>
    <w:rsid w:val="109E96D8"/>
    <w:rsid w:val="10B92B9D"/>
    <w:rsid w:val="10CD62A7"/>
    <w:rsid w:val="10EAA634"/>
    <w:rsid w:val="10F172F5"/>
    <w:rsid w:val="10F65BB7"/>
    <w:rsid w:val="11409AF2"/>
    <w:rsid w:val="11531A6D"/>
    <w:rsid w:val="11599316"/>
    <w:rsid w:val="1170A381"/>
    <w:rsid w:val="1197F9D2"/>
    <w:rsid w:val="11F7A971"/>
    <w:rsid w:val="11FDB409"/>
    <w:rsid w:val="124BF70E"/>
    <w:rsid w:val="1266ED41"/>
    <w:rsid w:val="12840841"/>
    <w:rsid w:val="12BF3C7A"/>
    <w:rsid w:val="12E7E119"/>
    <w:rsid w:val="1339C92D"/>
    <w:rsid w:val="13539CCB"/>
    <w:rsid w:val="1355B4B2"/>
    <w:rsid w:val="13683EC8"/>
    <w:rsid w:val="137B540D"/>
    <w:rsid w:val="139332F7"/>
    <w:rsid w:val="1394E6E4"/>
    <w:rsid w:val="13E8166A"/>
    <w:rsid w:val="13F93388"/>
    <w:rsid w:val="143EDE69"/>
    <w:rsid w:val="1450A4BF"/>
    <w:rsid w:val="146B2887"/>
    <w:rsid w:val="1482509D"/>
    <w:rsid w:val="149155A8"/>
    <w:rsid w:val="14A71EEA"/>
    <w:rsid w:val="14C2D047"/>
    <w:rsid w:val="1504A2C5"/>
    <w:rsid w:val="1507C6A3"/>
    <w:rsid w:val="150CEB38"/>
    <w:rsid w:val="1543506F"/>
    <w:rsid w:val="154D9F92"/>
    <w:rsid w:val="15552B43"/>
    <w:rsid w:val="157EE05A"/>
    <w:rsid w:val="15B04B44"/>
    <w:rsid w:val="15E22219"/>
    <w:rsid w:val="15E3163E"/>
    <w:rsid w:val="15EE35CF"/>
    <w:rsid w:val="15F4D90A"/>
    <w:rsid w:val="15F7F8CD"/>
    <w:rsid w:val="1607D95B"/>
    <w:rsid w:val="1675EE32"/>
    <w:rsid w:val="169E27BF"/>
    <w:rsid w:val="16E3A5BC"/>
    <w:rsid w:val="1723D74C"/>
    <w:rsid w:val="1725A4FE"/>
    <w:rsid w:val="172D8DE1"/>
    <w:rsid w:val="17647A19"/>
    <w:rsid w:val="176E233A"/>
    <w:rsid w:val="1776BFAA"/>
    <w:rsid w:val="17A600DB"/>
    <w:rsid w:val="17F9A50B"/>
    <w:rsid w:val="183D551D"/>
    <w:rsid w:val="186380F0"/>
    <w:rsid w:val="18760801"/>
    <w:rsid w:val="187F9A11"/>
    <w:rsid w:val="18834CB6"/>
    <w:rsid w:val="18874AF1"/>
    <w:rsid w:val="1899E598"/>
    <w:rsid w:val="18A1975A"/>
    <w:rsid w:val="18B40B5D"/>
    <w:rsid w:val="191B41C1"/>
    <w:rsid w:val="192D237B"/>
    <w:rsid w:val="19686095"/>
    <w:rsid w:val="19771D8C"/>
    <w:rsid w:val="19A4B0F7"/>
    <w:rsid w:val="19A6380F"/>
    <w:rsid w:val="19A86002"/>
    <w:rsid w:val="19B92CD4"/>
    <w:rsid w:val="19D90574"/>
    <w:rsid w:val="19DC678E"/>
    <w:rsid w:val="1A08FDE1"/>
    <w:rsid w:val="1A643467"/>
    <w:rsid w:val="1A8CE003"/>
    <w:rsid w:val="1AB2512C"/>
    <w:rsid w:val="1ADCCFC9"/>
    <w:rsid w:val="1AE94260"/>
    <w:rsid w:val="1AF8FD6A"/>
    <w:rsid w:val="1AFB101C"/>
    <w:rsid w:val="1AFBCCAF"/>
    <w:rsid w:val="1B0B124B"/>
    <w:rsid w:val="1B148931"/>
    <w:rsid w:val="1B38575B"/>
    <w:rsid w:val="1B661570"/>
    <w:rsid w:val="1B72481E"/>
    <w:rsid w:val="1B8171D2"/>
    <w:rsid w:val="1BA152D4"/>
    <w:rsid w:val="1BB8D24A"/>
    <w:rsid w:val="1BB90898"/>
    <w:rsid w:val="1BBCA17C"/>
    <w:rsid w:val="1BBF5875"/>
    <w:rsid w:val="1BC79B45"/>
    <w:rsid w:val="1BC8B60B"/>
    <w:rsid w:val="1BD202D5"/>
    <w:rsid w:val="1BD8C42F"/>
    <w:rsid w:val="1BDEA6EF"/>
    <w:rsid w:val="1BED3385"/>
    <w:rsid w:val="1BFA8078"/>
    <w:rsid w:val="1C0393E2"/>
    <w:rsid w:val="1C4E873B"/>
    <w:rsid w:val="1C5CB479"/>
    <w:rsid w:val="1C710E7A"/>
    <w:rsid w:val="1C8A51BD"/>
    <w:rsid w:val="1CA02FC6"/>
    <w:rsid w:val="1CABCDD6"/>
    <w:rsid w:val="1CB80C6F"/>
    <w:rsid w:val="1CD66F8C"/>
    <w:rsid w:val="1CDA03E4"/>
    <w:rsid w:val="1CDEE7FD"/>
    <w:rsid w:val="1CDF6DBD"/>
    <w:rsid w:val="1CFB4A77"/>
    <w:rsid w:val="1D26153A"/>
    <w:rsid w:val="1D456022"/>
    <w:rsid w:val="1D496EC6"/>
    <w:rsid w:val="1D563BF7"/>
    <w:rsid w:val="1D58EE99"/>
    <w:rsid w:val="1D697B7C"/>
    <w:rsid w:val="1DA8FAFE"/>
    <w:rsid w:val="1DBD4F9C"/>
    <w:rsid w:val="1DE1992C"/>
    <w:rsid w:val="1DEF1E48"/>
    <w:rsid w:val="1DFF9BE1"/>
    <w:rsid w:val="1E013216"/>
    <w:rsid w:val="1E08B1FE"/>
    <w:rsid w:val="1E0DE038"/>
    <w:rsid w:val="1E1E41CA"/>
    <w:rsid w:val="1E2D164C"/>
    <w:rsid w:val="1E40C034"/>
    <w:rsid w:val="1E41ED15"/>
    <w:rsid w:val="1E740BFB"/>
    <w:rsid w:val="1E8669CB"/>
    <w:rsid w:val="1E9180F2"/>
    <w:rsid w:val="1EA6606E"/>
    <w:rsid w:val="1EAC48FC"/>
    <w:rsid w:val="1ECB2A25"/>
    <w:rsid w:val="1F3F3BB1"/>
    <w:rsid w:val="1F407880"/>
    <w:rsid w:val="1F5C378E"/>
    <w:rsid w:val="1F72FCA6"/>
    <w:rsid w:val="1F8D086B"/>
    <w:rsid w:val="1FAEB8D4"/>
    <w:rsid w:val="1FBCB2B5"/>
    <w:rsid w:val="1FCBAA4C"/>
    <w:rsid w:val="1FD2FC1A"/>
    <w:rsid w:val="1FD35014"/>
    <w:rsid w:val="1FD384E5"/>
    <w:rsid w:val="1FE77F40"/>
    <w:rsid w:val="1FF18F38"/>
    <w:rsid w:val="20238070"/>
    <w:rsid w:val="2047EE33"/>
    <w:rsid w:val="207E2B7F"/>
    <w:rsid w:val="2085D228"/>
    <w:rsid w:val="20873B9A"/>
    <w:rsid w:val="209B43C2"/>
    <w:rsid w:val="20F12187"/>
    <w:rsid w:val="211465FC"/>
    <w:rsid w:val="2124B003"/>
    <w:rsid w:val="213762F9"/>
    <w:rsid w:val="21483E41"/>
    <w:rsid w:val="2163B0EF"/>
    <w:rsid w:val="219DD919"/>
    <w:rsid w:val="21A24A37"/>
    <w:rsid w:val="21A407D8"/>
    <w:rsid w:val="22158CF2"/>
    <w:rsid w:val="2237B63E"/>
    <w:rsid w:val="223DCD26"/>
    <w:rsid w:val="2243890F"/>
    <w:rsid w:val="22520F35"/>
    <w:rsid w:val="226A31E4"/>
    <w:rsid w:val="2280BE14"/>
    <w:rsid w:val="2283EE43"/>
    <w:rsid w:val="228BEBBD"/>
    <w:rsid w:val="22B7EF5C"/>
    <w:rsid w:val="22DFBE94"/>
    <w:rsid w:val="231A2311"/>
    <w:rsid w:val="23A1DF23"/>
    <w:rsid w:val="23BD307E"/>
    <w:rsid w:val="23BE285F"/>
    <w:rsid w:val="23C63ADC"/>
    <w:rsid w:val="23EA71FF"/>
    <w:rsid w:val="23F0D188"/>
    <w:rsid w:val="23FF72A3"/>
    <w:rsid w:val="2400FE4C"/>
    <w:rsid w:val="2427E3BA"/>
    <w:rsid w:val="24686424"/>
    <w:rsid w:val="24733FD0"/>
    <w:rsid w:val="24969209"/>
    <w:rsid w:val="24B176BC"/>
    <w:rsid w:val="25730A02"/>
    <w:rsid w:val="260C97EA"/>
    <w:rsid w:val="26206719"/>
    <w:rsid w:val="26221712"/>
    <w:rsid w:val="263D4D84"/>
    <w:rsid w:val="26596820"/>
    <w:rsid w:val="267FCCFA"/>
    <w:rsid w:val="2689B422"/>
    <w:rsid w:val="26BE79BE"/>
    <w:rsid w:val="26C6B5EB"/>
    <w:rsid w:val="26DD878A"/>
    <w:rsid w:val="26E75607"/>
    <w:rsid w:val="2703E12E"/>
    <w:rsid w:val="2723284A"/>
    <w:rsid w:val="279D81DD"/>
    <w:rsid w:val="27CE9430"/>
    <w:rsid w:val="27D392CB"/>
    <w:rsid w:val="27FA3DB8"/>
    <w:rsid w:val="2817144A"/>
    <w:rsid w:val="28265095"/>
    <w:rsid w:val="28395970"/>
    <w:rsid w:val="286C5499"/>
    <w:rsid w:val="287BDB12"/>
    <w:rsid w:val="288AD40B"/>
    <w:rsid w:val="28C62B28"/>
    <w:rsid w:val="28E4722A"/>
    <w:rsid w:val="28F9898E"/>
    <w:rsid w:val="29005E81"/>
    <w:rsid w:val="2937AE6D"/>
    <w:rsid w:val="29391AAB"/>
    <w:rsid w:val="2946BF98"/>
    <w:rsid w:val="2962A257"/>
    <w:rsid w:val="2981733E"/>
    <w:rsid w:val="2987A512"/>
    <w:rsid w:val="29882AB5"/>
    <w:rsid w:val="298B1DC6"/>
    <w:rsid w:val="2995170C"/>
    <w:rsid w:val="29AB9E27"/>
    <w:rsid w:val="29FA674C"/>
    <w:rsid w:val="2A47153B"/>
    <w:rsid w:val="2A4B9072"/>
    <w:rsid w:val="2A56074E"/>
    <w:rsid w:val="2AEC6D5D"/>
    <w:rsid w:val="2AF77A42"/>
    <w:rsid w:val="2B11263F"/>
    <w:rsid w:val="2B246080"/>
    <w:rsid w:val="2B5ECDB5"/>
    <w:rsid w:val="2B7F8607"/>
    <w:rsid w:val="2BA22D3B"/>
    <w:rsid w:val="2BAF7C94"/>
    <w:rsid w:val="2BD5B14E"/>
    <w:rsid w:val="2BE85B0D"/>
    <w:rsid w:val="2BF0F350"/>
    <w:rsid w:val="2BF176CB"/>
    <w:rsid w:val="2C7A3759"/>
    <w:rsid w:val="2C80CEDA"/>
    <w:rsid w:val="2C8C94D3"/>
    <w:rsid w:val="2C9F9B4C"/>
    <w:rsid w:val="2CC03934"/>
    <w:rsid w:val="2CC1403B"/>
    <w:rsid w:val="2CDD0D8A"/>
    <w:rsid w:val="2D25E259"/>
    <w:rsid w:val="2D33E050"/>
    <w:rsid w:val="2D65E773"/>
    <w:rsid w:val="2D733547"/>
    <w:rsid w:val="2DEB0EA9"/>
    <w:rsid w:val="2E01F93D"/>
    <w:rsid w:val="2E132C45"/>
    <w:rsid w:val="2E19DE86"/>
    <w:rsid w:val="2E1D5DF0"/>
    <w:rsid w:val="2E509D71"/>
    <w:rsid w:val="2E6B3B2B"/>
    <w:rsid w:val="2E6B7F23"/>
    <w:rsid w:val="2E6BDB56"/>
    <w:rsid w:val="2E7A38E1"/>
    <w:rsid w:val="2E9A36B2"/>
    <w:rsid w:val="2EA8B108"/>
    <w:rsid w:val="2EB4892F"/>
    <w:rsid w:val="2ED5C90F"/>
    <w:rsid w:val="2EF46C75"/>
    <w:rsid w:val="2F0AB460"/>
    <w:rsid w:val="2F0DE792"/>
    <w:rsid w:val="2F168B38"/>
    <w:rsid w:val="2F2FC321"/>
    <w:rsid w:val="2F32CC33"/>
    <w:rsid w:val="2F40670A"/>
    <w:rsid w:val="2F9126EB"/>
    <w:rsid w:val="2F94A282"/>
    <w:rsid w:val="2F9614BE"/>
    <w:rsid w:val="2FA31D0D"/>
    <w:rsid w:val="2FAD94C6"/>
    <w:rsid w:val="2FB32888"/>
    <w:rsid w:val="2FD360E0"/>
    <w:rsid w:val="2FD40677"/>
    <w:rsid w:val="2FD6741C"/>
    <w:rsid w:val="2FF52F5E"/>
    <w:rsid w:val="3027E91E"/>
    <w:rsid w:val="306D3D40"/>
    <w:rsid w:val="30924C94"/>
    <w:rsid w:val="30992C36"/>
    <w:rsid w:val="30A1149C"/>
    <w:rsid w:val="30C6275A"/>
    <w:rsid w:val="30CC0507"/>
    <w:rsid w:val="31386F2F"/>
    <w:rsid w:val="315C6742"/>
    <w:rsid w:val="3181C909"/>
    <w:rsid w:val="318692C3"/>
    <w:rsid w:val="318CCD52"/>
    <w:rsid w:val="31ABB319"/>
    <w:rsid w:val="31BC0145"/>
    <w:rsid w:val="31CC497D"/>
    <w:rsid w:val="3274AB18"/>
    <w:rsid w:val="32B0ED0D"/>
    <w:rsid w:val="32B327B3"/>
    <w:rsid w:val="32CF72AC"/>
    <w:rsid w:val="32E045B9"/>
    <w:rsid w:val="3359517A"/>
    <w:rsid w:val="3362FB16"/>
    <w:rsid w:val="33B9FB18"/>
    <w:rsid w:val="33BB62E6"/>
    <w:rsid w:val="33E70C29"/>
    <w:rsid w:val="3436B245"/>
    <w:rsid w:val="34410D69"/>
    <w:rsid w:val="34460949"/>
    <w:rsid w:val="3464721A"/>
    <w:rsid w:val="3466A591"/>
    <w:rsid w:val="34A573F9"/>
    <w:rsid w:val="34A5BCBC"/>
    <w:rsid w:val="34C101F7"/>
    <w:rsid w:val="34C8498A"/>
    <w:rsid w:val="34DE979F"/>
    <w:rsid w:val="34FEC793"/>
    <w:rsid w:val="35099819"/>
    <w:rsid w:val="358F3E1E"/>
    <w:rsid w:val="3596DB00"/>
    <w:rsid w:val="35B1DF20"/>
    <w:rsid w:val="3613E8F7"/>
    <w:rsid w:val="3660600A"/>
    <w:rsid w:val="366BF658"/>
    <w:rsid w:val="36958628"/>
    <w:rsid w:val="36CAC9BC"/>
    <w:rsid w:val="36EDF841"/>
    <w:rsid w:val="36F84F4C"/>
    <w:rsid w:val="370BC308"/>
    <w:rsid w:val="3718A794"/>
    <w:rsid w:val="37231953"/>
    <w:rsid w:val="37253BD4"/>
    <w:rsid w:val="3725FC74"/>
    <w:rsid w:val="372C7A7D"/>
    <w:rsid w:val="374C3163"/>
    <w:rsid w:val="37664F68"/>
    <w:rsid w:val="37677E97"/>
    <w:rsid w:val="378F8917"/>
    <w:rsid w:val="37C9B9ED"/>
    <w:rsid w:val="37D1E752"/>
    <w:rsid w:val="37F7E488"/>
    <w:rsid w:val="37FC103C"/>
    <w:rsid w:val="38268D4F"/>
    <w:rsid w:val="3830307C"/>
    <w:rsid w:val="3842D913"/>
    <w:rsid w:val="38482510"/>
    <w:rsid w:val="3876C78A"/>
    <w:rsid w:val="38B0E655"/>
    <w:rsid w:val="38CC6D37"/>
    <w:rsid w:val="38DA58B8"/>
    <w:rsid w:val="38DC7FB9"/>
    <w:rsid w:val="38F89FF7"/>
    <w:rsid w:val="3915ECF5"/>
    <w:rsid w:val="392AED88"/>
    <w:rsid w:val="3930A9C1"/>
    <w:rsid w:val="39473DDC"/>
    <w:rsid w:val="399D1A2F"/>
    <w:rsid w:val="39ACB7EF"/>
    <w:rsid w:val="39B98DC0"/>
    <w:rsid w:val="39FDB9C9"/>
    <w:rsid w:val="3A74BD4E"/>
    <w:rsid w:val="3A9A559E"/>
    <w:rsid w:val="3AA5DF30"/>
    <w:rsid w:val="3AA98EA3"/>
    <w:rsid w:val="3ABCE11A"/>
    <w:rsid w:val="3AC3B609"/>
    <w:rsid w:val="3ADD9931"/>
    <w:rsid w:val="3B1687DE"/>
    <w:rsid w:val="3B35ED0B"/>
    <w:rsid w:val="3B418F65"/>
    <w:rsid w:val="3B5C548B"/>
    <w:rsid w:val="3B6DB9C8"/>
    <w:rsid w:val="3B714F91"/>
    <w:rsid w:val="3BC5751E"/>
    <w:rsid w:val="3C1E8D2A"/>
    <w:rsid w:val="3C262072"/>
    <w:rsid w:val="3C267465"/>
    <w:rsid w:val="3C2A71E0"/>
    <w:rsid w:val="3C68ABD5"/>
    <w:rsid w:val="3C6DDF7F"/>
    <w:rsid w:val="3C6E7CAC"/>
    <w:rsid w:val="3C7A385D"/>
    <w:rsid w:val="3CA49445"/>
    <w:rsid w:val="3CE84315"/>
    <w:rsid w:val="3CF99F35"/>
    <w:rsid w:val="3D459EA4"/>
    <w:rsid w:val="3D808D55"/>
    <w:rsid w:val="3D9B947B"/>
    <w:rsid w:val="3DA8238F"/>
    <w:rsid w:val="3DC5F0D7"/>
    <w:rsid w:val="3E058E23"/>
    <w:rsid w:val="3E0DB10F"/>
    <w:rsid w:val="3E26BE67"/>
    <w:rsid w:val="3E66520E"/>
    <w:rsid w:val="3E7A393B"/>
    <w:rsid w:val="3E7E41C1"/>
    <w:rsid w:val="3E80A340"/>
    <w:rsid w:val="3EC3F3F4"/>
    <w:rsid w:val="3EF2E235"/>
    <w:rsid w:val="3F1CE87D"/>
    <w:rsid w:val="3F8EB92A"/>
    <w:rsid w:val="3F986244"/>
    <w:rsid w:val="3FC9A741"/>
    <w:rsid w:val="3FDE04F1"/>
    <w:rsid w:val="3FE0EEA0"/>
    <w:rsid w:val="3FECFDA4"/>
    <w:rsid w:val="400B4350"/>
    <w:rsid w:val="401A4AEA"/>
    <w:rsid w:val="403E1934"/>
    <w:rsid w:val="404E8D61"/>
    <w:rsid w:val="4057B73C"/>
    <w:rsid w:val="4072D4B7"/>
    <w:rsid w:val="407AD59D"/>
    <w:rsid w:val="408B5258"/>
    <w:rsid w:val="410FB167"/>
    <w:rsid w:val="4129F07B"/>
    <w:rsid w:val="412CF0E4"/>
    <w:rsid w:val="4134AADD"/>
    <w:rsid w:val="414D2C98"/>
    <w:rsid w:val="415BB644"/>
    <w:rsid w:val="416B2D4E"/>
    <w:rsid w:val="416E737C"/>
    <w:rsid w:val="4173D0F5"/>
    <w:rsid w:val="4191E0FB"/>
    <w:rsid w:val="419371EC"/>
    <w:rsid w:val="41EC9690"/>
    <w:rsid w:val="41FED270"/>
    <w:rsid w:val="42352C00"/>
    <w:rsid w:val="4252E870"/>
    <w:rsid w:val="427F50CC"/>
    <w:rsid w:val="4282B20E"/>
    <w:rsid w:val="4289291F"/>
    <w:rsid w:val="42A5E005"/>
    <w:rsid w:val="42B19766"/>
    <w:rsid w:val="42BD2FCD"/>
    <w:rsid w:val="434CBABB"/>
    <w:rsid w:val="435C61BB"/>
    <w:rsid w:val="4394E0E3"/>
    <w:rsid w:val="43F95AE8"/>
    <w:rsid w:val="4411A6AB"/>
    <w:rsid w:val="44301E7F"/>
    <w:rsid w:val="44461CC5"/>
    <w:rsid w:val="44597A36"/>
    <w:rsid w:val="44608EFD"/>
    <w:rsid w:val="44B41BB9"/>
    <w:rsid w:val="44D72EA4"/>
    <w:rsid w:val="44F2D7A7"/>
    <w:rsid w:val="450D8C61"/>
    <w:rsid w:val="450DFDE5"/>
    <w:rsid w:val="45122BB5"/>
    <w:rsid w:val="453DCE5B"/>
    <w:rsid w:val="45552579"/>
    <w:rsid w:val="45812E1A"/>
    <w:rsid w:val="4585EBF3"/>
    <w:rsid w:val="458A2089"/>
    <w:rsid w:val="45AEF74E"/>
    <w:rsid w:val="45B7C94C"/>
    <w:rsid w:val="45D4E0A1"/>
    <w:rsid w:val="45DC5BF2"/>
    <w:rsid w:val="461ED2B0"/>
    <w:rsid w:val="464F124D"/>
    <w:rsid w:val="466AE72A"/>
    <w:rsid w:val="4688BA7E"/>
    <w:rsid w:val="4688F1F3"/>
    <w:rsid w:val="468E9582"/>
    <w:rsid w:val="46C44233"/>
    <w:rsid w:val="46C5CC85"/>
    <w:rsid w:val="46D16EA8"/>
    <w:rsid w:val="46D894C6"/>
    <w:rsid w:val="46E5902F"/>
    <w:rsid w:val="46FD1145"/>
    <w:rsid w:val="47166429"/>
    <w:rsid w:val="472FA70F"/>
    <w:rsid w:val="47382C4C"/>
    <w:rsid w:val="47393B6E"/>
    <w:rsid w:val="477A780F"/>
    <w:rsid w:val="4782E531"/>
    <w:rsid w:val="4786C43E"/>
    <w:rsid w:val="47995DBC"/>
    <w:rsid w:val="47AA70DB"/>
    <w:rsid w:val="47AE28C5"/>
    <w:rsid w:val="47E5CD02"/>
    <w:rsid w:val="47E632C9"/>
    <w:rsid w:val="47F55202"/>
    <w:rsid w:val="480021BD"/>
    <w:rsid w:val="482792D9"/>
    <w:rsid w:val="4827C6D5"/>
    <w:rsid w:val="483C2EEA"/>
    <w:rsid w:val="484118F8"/>
    <w:rsid w:val="4887DC44"/>
    <w:rsid w:val="490A0066"/>
    <w:rsid w:val="492CB5C0"/>
    <w:rsid w:val="495721D8"/>
    <w:rsid w:val="495B5FF8"/>
    <w:rsid w:val="49C178E4"/>
    <w:rsid w:val="49CB7196"/>
    <w:rsid w:val="4A00575B"/>
    <w:rsid w:val="4A1B71DC"/>
    <w:rsid w:val="4A2611A5"/>
    <w:rsid w:val="4A5BBC7D"/>
    <w:rsid w:val="4A83604F"/>
    <w:rsid w:val="4AB299D7"/>
    <w:rsid w:val="4AB74B44"/>
    <w:rsid w:val="4AC4D460"/>
    <w:rsid w:val="4AC67188"/>
    <w:rsid w:val="4AC6AB8A"/>
    <w:rsid w:val="4AC93148"/>
    <w:rsid w:val="4AE56FB5"/>
    <w:rsid w:val="4B2E50E6"/>
    <w:rsid w:val="4B32A88B"/>
    <w:rsid w:val="4B76D934"/>
    <w:rsid w:val="4B78964C"/>
    <w:rsid w:val="4B88C086"/>
    <w:rsid w:val="4B95DDA9"/>
    <w:rsid w:val="4BCEA801"/>
    <w:rsid w:val="4BD9DA25"/>
    <w:rsid w:val="4BE96978"/>
    <w:rsid w:val="4C03E155"/>
    <w:rsid w:val="4C2B8FE0"/>
    <w:rsid w:val="4C2F3D8E"/>
    <w:rsid w:val="4C5CF47C"/>
    <w:rsid w:val="4CC27D48"/>
    <w:rsid w:val="4D0D81AD"/>
    <w:rsid w:val="4D3CEFAE"/>
    <w:rsid w:val="4D490C53"/>
    <w:rsid w:val="4DA194C0"/>
    <w:rsid w:val="4DDB9DE6"/>
    <w:rsid w:val="4E656BF0"/>
    <w:rsid w:val="4E6BAAE8"/>
    <w:rsid w:val="4E85C05D"/>
    <w:rsid w:val="4EA61615"/>
    <w:rsid w:val="4EA7F333"/>
    <w:rsid w:val="4EBD587B"/>
    <w:rsid w:val="4EFD92A8"/>
    <w:rsid w:val="4F00FF88"/>
    <w:rsid w:val="4F0AB1C9"/>
    <w:rsid w:val="4F205430"/>
    <w:rsid w:val="4F5DF7EA"/>
    <w:rsid w:val="4F7061DD"/>
    <w:rsid w:val="4F740A5A"/>
    <w:rsid w:val="4F86A1DF"/>
    <w:rsid w:val="4F872F6B"/>
    <w:rsid w:val="4FD3FEA6"/>
    <w:rsid w:val="50589FD6"/>
    <w:rsid w:val="5090818B"/>
    <w:rsid w:val="50A8B2E9"/>
    <w:rsid w:val="50E93BCF"/>
    <w:rsid w:val="512238FE"/>
    <w:rsid w:val="514AEF6A"/>
    <w:rsid w:val="51591767"/>
    <w:rsid w:val="5172A18A"/>
    <w:rsid w:val="5182C472"/>
    <w:rsid w:val="51B9C80B"/>
    <w:rsid w:val="51C7E983"/>
    <w:rsid w:val="51DABF42"/>
    <w:rsid w:val="51EE4C9F"/>
    <w:rsid w:val="52180E21"/>
    <w:rsid w:val="5218B196"/>
    <w:rsid w:val="521A3F2E"/>
    <w:rsid w:val="521D1C1E"/>
    <w:rsid w:val="52221188"/>
    <w:rsid w:val="5249ACCA"/>
    <w:rsid w:val="528A7053"/>
    <w:rsid w:val="529FFC87"/>
    <w:rsid w:val="52A38A71"/>
    <w:rsid w:val="52A5CBC0"/>
    <w:rsid w:val="52B62673"/>
    <w:rsid w:val="52C20CDE"/>
    <w:rsid w:val="52D8AE82"/>
    <w:rsid w:val="530AB662"/>
    <w:rsid w:val="5310044C"/>
    <w:rsid w:val="531D1824"/>
    <w:rsid w:val="5329759F"/>
    <w:rsid w:val="5333CBE7"/>
    <w:rsid w:val="533A9F4E"/>
    <w:rsid w:val="53566B5F"/>
    <w:rsid w:val="5383C647"/>
    <w:rsid w:val="53B4C471"/>
    <w:rsid w:val="53E340E4"/>
    <w:rsid w:val="53F142E6"/>
    <w:rsid w:val="53F3FD30"/>
    <w:rsid w:val="54144D87"/>
    <w:rsid w:val="543CC7E9"/>
    <w:rsid w:val="54531B4E"/>
    <w:rsid w:val="545F5CB8"/>
    <w:rsid w:val="54AF4043"/>
    <w:rsid w:val="552E3A6B"/>
    <w:rsid w:val="554BD7D9"/>
    <w:rsid w:val="556E10F2"/>
    <w:rsid w:val="557DC985"/>
    <w:rsid w:val="55D7C96C"/>
    <w:rsid w:val="55DA14EF"/>
    <w:rsid w:val="55DF2D8C"/>
    <w:rsid w:val="5616104F"/>
    <w:rsid w:val="56161DC4"/>
    <w:rsid w:val="562545C1"/>
    <w:rsid w:val="562B2AD5"/>
    <w:rsid w:val="565995E8"/>
    <w:rsid w:val="5660E660"/>
    <w:rsid w:val="56B931F6"/>
    <w:rsid w:val="56F216D8"/>
    <w:rsid w:val="571D3335"/>
    <w:rsid w:val="572EB800"/>
    <w:rsid w:val="57372E52"/>
    <w:rsid w:val="57594B0D"/>
    <w:rsid w:val="576EA331"/>
    <w:rsid w:val="577A8DD1"/>
    <w:rsid w:val="5832D0A2"/>
    <w:rsid w:val="585F5710"/>
    <w:rsid w:val="58645FAC"/>
    <w:rsid w:val="586E9125"/>
    <w:rsid w:val="58703DE4"/>
    <w:rsid w:val="5878CE4C"/>
    <w:rsid w:val="588456EB"/>
    <w:rsid w:val="58AFA8E0"/>
    <w:rsid w:val="58E73B5D"/>
    <w:rsid w:val="591D949A"/>
    <w:rsid w:val="594E551A"/>
    <w:rsid w:val="595C80F6"/>
    <w:rsid w:val="59F1EEF1"/>
    <w:rsid w:val="5A0F4DEC"/>
    <w:rsid w:val="5A3C00D4"/>
    <w:rsid w:val="5A557922"/>
    <w:rsid w:val="5A6D6D0F"/>
    <w:rsid w:val="5AC1554B"/>
    <w:rsid w:val="5AC160A7"/>
    <w:rsid w:val="5AC4A01E"/>
    <w:rsid w:val="5AD247F8"/>
    <w:rsid w:val="5B0065C3"/>
    <w:rsid w:val="5B472C07"/>
    <w:rsid w:val="5B79DF53"/>
    <w:rsid w:val="5B8B0796"/>
    <w:rsid w:val="5B954F74"/>
    <w:rsid w:val="5B9D0FFF"/>
    <w:rsid w:val="5BB7F8E2"/>
    <w:rsid w:val="5BEE4CC8"/>
    <w:rsid w:val="5BFFC961"/>
    <w:rsid w:val="5C159F95"/>
    <w:rsid w:val="5C215FEF"/>
    <w:rsid w:val="5C2A8479"/>
    <w:rsid w:val="5C54DCDD"/>
    <w:rsid w:val="5C58FDEB"/>
    <w:rsid w:val="5C675029"/>
    <w:rsid w:val="5C78EF22"/>
    <w:rsid w:val="5C827264"/>
    <w:rsid w:val="5CA051E6"/>
    <w:rsid w:val="5CA5CE6C"/>
    <w:rsid w:val="5CED6B8F"/>
    <w:rsid w:val="5D01B0EF"/>
    <w:rsid w:val="5D76EC0A"/>
    <w:rsid w:val="5D7CA783"/>
    <w:rsid w:val="5D874EE5"/>
    <w:rsid w:val="5DE72F6A"/>
    <w:rsid w:val="5E259FBD"/>
    <w:rsid w:val="5E4489AE"/>
    <w:rsid w:val="5E4AA894"/>
    <w:rsid w:val="5E565A81"/>
    <w:rsid w:val="5E56B7B0"/>
    <w:rsid w:val="5E56BBED"/>
    <w:rsid w:val="5E5A3A44"/>
    <w:rsid w:val="5ED192AC"/>
    <w:rsid w:val="5ED7134C"/>
    <w:rsid w:val="5EE14275"/>
    <w:rsid w:val="5EE2039E"/>
    <w:rsid w:val="5F1C526E"/>
    <w:rsid w:val="5F1CD6A2"/>
    <w:rsid w:val="5F32B138"/>
    <w:rsid w:val="5F66B3F1"/>
    <w:rsid w:val="5F7AD240"/>
    <w:rsid w:val="5F931DC3"/>
    <w:rsid w:val="5FD9B301"/>
    <w:rsid w:val="5FDBA185"/>
    <w:rsid w:val="6011575E"/>
    <w:rsid w:val="6011C2BA"/>
    <w:rsid w:val="60190C35"/>
    <w:rsid w:val="604F1992"/>
    <w:rsid w:val="60933234"/>
    <w:rsid w:val="609F6C3E"/>
    <w:rsid w:val="60A76083"/>
    <w:rsid w:val="60AAE0DA"/>
    <w:rsid w:val="60C86A14"/>
    <w:rsid w:val="60EE770C"/>
    <w:rsid w:val="60FB008E"/>
    <w:rsid w:val="6100F50D"/>
    <w:rsid w:val="6152209C"/>
    <w:rsid w:val="617B7476"/>
    <w:rsid w:val="61FA603B"/>
    <w:rsid w:val="62132155"/>
    <w:rsid w:val="622FC7AD"/>
    <w:rsid w:val="62349E71"/>
    <w:rsid w:val="62800C95"/>
    <w:rsid w:val="62BA1695"/>
    <w:rsid w:val="62C2CBE0"/>
    <w:rsid w:val="62D4B248"/>
    <w:rsid w:val="62EB4E60"/>
    <w:rsid w:val="63494B22"/>
    <w:rsid w:val="6361C086"/>
    <w:rsid w:val="636950BE"/>
    <w:rsid w:val="636D9A83"/>
    <w:rsid w:val="63DEAA02"/>
    <w:rsid w:val="6404983B"/>
    <w:rsid w:val="641B5F57"/>
    <w:rsid w:val="644DAE74"/>
    <w:rsid w:val="645E7CD0"/>
    <w:rsid w:val="648A5141"/>
    <w:rsid w:val="64C7CDCA"/>
    <w:rsid w:val="64DBCE7D"/>
    <w:rsid w:val="64DE1767"/>
    <w:rsid w:val="651D4EFC"/>
    <w:rsid w:val="65387DF6"/>
    <w:rsid w:val="65752A12"/>
    <w:rsid w:val="657B7198"/>
    <w:rsid w:val="65D34DE4"/>
    <w:rsid w:val="65EDFA23"/>
    <w:rsid w:val="65F78C83"/>
    <w:rsid w:val="65FD0226"/>
    <w:rsid w:val="66154737"/>
    <w:rsid w:val="661BEF77"/>
    <w:rsid w:val="6642A07B"/>
    <w:rsid w:val="667D2656"/>
    <w:rsid w:val="66A1D3F2"/>
    <w:rsid w:val="66AF5548"/>
    <w:rsid w:val="66B00DDD"/>
    <w:rsid w:val="66CF55ED"/>
    <w:rsid w:val="66DC0CF1"/>
    <w:rsid w:val="66FF648D"/>
    <w:rsid w:val="677FDF75"/>
    <w:rsid w:val="679AA736"/>
    <w:rsid w:val="67B85260"/>
    <w:rsid w:val="67CF38DE"/>
    <w:rsid w:val="67E1E722"/>
    <w:rsid w:val="67E64735"/>
    <w:rsid w:val="68561F2D"/>
    <w:rsid w:val="68659753"/>
    <w:rsid w:val="687C7878"/>
    <w:rsid w:val="68AA4011"/>
    <w:rsid w:val="68B97590"/>
    <w:rsid w:val="68C79213"/>
    <w:rsid w:val="68D1E547"/>
    <w:rsid w:val="691B972A"/>
    <w:rsid w:val="691F5387"/>
    <w:rsid w:val="6931018A"/>
    <w:rsid w:val="696B3AD5"/>
    <w:rsid w:val="6990541B"/>
    <w:rsid w:val="69A89766"/>
    <w:rsid w:val="69AA355D"/>
    <w:rsid w:val="69F415D0"/>
    <w:rsid w:val="6A8B4EC2"/>
    <w:rsid w:val="6A900675"/>
    <w:rsid w:val="6AB3055B"/>
    <w:rsid w:val="6AFAFEB6"/>
    <w:rsid w:val="6B0147B5"/>
    <w:rsid w:val="6B058D6B"/>
    <w:rsid w:val="6B0FF372"/>
    <w:rsid w:val="6B207AD1"/>
    <w:rsid w:val="6B2A6F79"/>
    <w:rsid w:val="6B2F5338"/>
    <w:rsid w:val="6B3449C1"/>
    <w:rsid w:val="6B393533"/>
    <w:rsid w:val="6B3A5BDE"/>
    <w:rsid w:val="6B3FE7AF"/>
    <w:rsid w:val="6B9D258C"/>
    <w:rsid w:val="6BA4B046"/>
    <w:rsid w:val="6BA8F83A"/>
    <w:rsid w:val="6BB6DBC1"/>
    <w:rsid w:val="6BDAF349"/>
    <w:rsid w:val="6C2DF685"/>
    <w:rsid w:val="6C3362D0"/>
    <w:rsid w:val="6C3A763F"/>
    <w:rsid w:val="6C3B49BA"/>
    <w:rsid w:val="6C4A937D"/>
    <w:rsid w:val="6C611C81"/>
    <w:rsid w:val="6C6D7423"/>
    <w:rsid w:val="6C7420EB"/>
    <w:rsid w:val="6CA37530"/>
    <w:rsid w:val="6CA4A9CE"/>
    <w:rsid w:val="6CB1BC2C"/>
    <w:rsid w:val="6CDC9C7D"/>
    <w:rsid w:val="6CEA52A5"/>
    <w:rsid w:val="6CEBDA8E"/>
    <w:rsid w:val="6D3603EC"/>
    <w:rsid w:val="6D421262"/>
    <w:rsid w:val="6D6B5854"/>
    <w:rsid w:val="6D6DB9A8"/>
    <w:rsid w:val="6DCAAD61"/>
    <w:rsid w:val="6DDD0C01"/>
    <w:rsid w:val="6DDE20D0"/>
    <w:rsid w:val="6DDE8B81"/>
    <w:rsid w:val="6DEB20D1"/>
    <w:rsid w:val="6DEC47D7"/>
    <w:rsid w:val="6E0D39D2"/>
    <w:rsid w:val="6E15A8EA"/>
    <w:rsid w:val="6E6BB284"/>
    <w:rsid w:val="6E86E86E"/>
    <w:rsid w:val="6EDED968"/>
    <w:rsid w:val="6EE57F29"/>
    <w:rsid w:val="6EE9125E"/>
    <w:rsid w:val="6EEAD245"/>
    <w:rsid w:val="6F151257"/>
    <w:rsid w:val="6F636308"/>
    <w:rsid w:val="6F6AFDCA"/>
    <w:rsid w:val="6F9931BC"/>
    <w:rsid w:val="6FB1EF3D"/>
    <w:rsid w:val="6FB95369"/>
    <w:rsid w:val="6FCD2225"/>
    <w:rsid w:val="6FEDE92F"/>
    <w:rsid w:val="6FFD401B"/>
    <w:rsid w:val="7046398A"/>
    <w:rsid w:val="704ED627"/>
    <w:rsid w:val="70847544"/>
    <w:rsid w:val="70899A14"/>
    <w:rsid w:val="70937E7E"/>
    <w:rsid w:val="70B2ECBF"/>
    <w:rsid w:val="70E820AB"/>
    <w:rsid w:val="711EA023"/>
    <w:rsid w:val="713B3868"/>
    <w:rsid w:val="719FEADA"/>
    <w:rsid w:val="71A97803"/>
    <w:rsid w:val="71D315C3"/>
    <w:rsid w:val="71E6A666"/>
    <w:rsid w:val="723D2E06"/>
    <w:rsid w:val="725D08EE"/>
    <w:rsid w:val="726EAAC6"/>
    <w:rsid w:val="727275B2"/>
    <w:rsid w:val="7282D397"/>
    <w:rsid w:val="72869298"/>
    <w:rsid w:val="729F0F0E"/>
    <w:rsid w:val="731D2584"/>
    <w:rsid w:val="734F1D1E"/>
    <w:rsid w:val="7351DF5C"/>
    <w:rsid w:val="735A2CCB"/>
    <w:rsid w:val="736602E0"/>
    <w:rsid w:val="73946FB6"/>
    <w:rsid w:val="73ABC7A8"/>
    <w:rsid w:val="73BBA8C3"/>
    <w:rsid w:val="73D0C09A"/>
    <w:rsid w:val="73F26E11"/>
    <w:rsid w:val="7430E260"/>
    <w:rsid w:val="743446D2"/>
    <w:rsid w:val="7468DAD2"/>
    <w:rsid w:val="7493E0F7"/>
    <w:rsid w:val="74E8BE46"/>
    <w:rsid w:val="7518B1D0"/>
    <w:rsid w:val="753D5D11"/>
    <w:rsid w:val="756C9C88"/>
    <w:rsid w:val="757BBB27"/>
    <w:rsid w:val="75E9ABA3"/>
    <w:rsid w:val="76260CEA"/>
    <w:rsid w:val="764143B6"/>
    <w:rsid w:val="76A8F6FC"/>
    <w:rsid w:val="76BEE0FD"/>
    <w:rsid w:val="76C8EFB3"/>
    <w:rsid w:val="7701F1DF"/>
    <w:rsid w:val="7723C973"/>
    <w:rsid w:val="7733C6F8"/>
    <w:rsid w:val="7774D29E"/>
    <w:rsid w:val="77D4DC2E"/>
    <w:rsid w:val="77DA6510"/>
    <w:rsid w:val="78147324"/>
    <w:rsid w:val="7869B879"/>
    <w:rsid w:val="78980910"/>
    <w:rsid w:val="78DB2B6F"/>
    <w:rsid w:val="78FDD871"/>
    <w:rsid w:val="792C5019"/>
    <w:rsid w:val="793AF757"/>
    <w:rsid w:val="793E569B"/>
    <w:rsid w:val="7978B45F"/>
    <w:rsid w:val="799399C7"/>
    <w:rsid w:val="79963C4B"/>
    <w:rsid w:val="79CDFAF1"/>
    <w:rsid w:val="79DD7A9E"/>
    <w:rsid w:val="79DE75FA"/>
    <w:rsid w:val="79F2B8AE"/>
    <w:rsid w:val="7A04BD6E"/>
    <w:rsid w:val="7A1C4266"/>
    <w:rsid w:val="7A3A6980"/>
    <w:rsid w:val="7AB8F4FA"/>
    <w:rsid w:val="7AD3E41A"/>
    <w:rsid w:val="7B054E2A"/>
    <w:rsid w:val="7B13B4E4"/>
    <w:rsid w:val="7B1E7D61"/>
    <w:rsid w:val="7B1F92F4"/>
    <w:rsid w:val="7B2C88AF"/>
    <w:rsid w:val="7B4BA706"/>
    <w:rsid w:val="7B6E0B59"/>
    <w:rsid w:val="7B788226"/>
    <w:rsid w:val="7B9CA571"/>
    <w:rsid w:val="7BA0B07C"/>
    <w:rsid w:val="7BA6F7D7"/>
    <w:rsid w:val="7BD58F07"/>
    <w:rsid w:val="7BEA8801"/>
    <w:rsid w:val="7BEC2E61"/>
    <w:rsid w:val="7C006444"/>
    <w:rsid w:val="7C0BE427"/>
    <w:rsid w:val="7C29D533"/>
    <w:rsid w:val="7C34E222"/>
    <w:rsid w:val="7C3E4A05"/>
    <w:rsid w:val="7C98A01C"/>
    <w:rsid w:val="7CAC9E37"/>
    <w:rsid w:val="7CD16878"/>
    <w:rsid w:val="7CE3C22A"/>
    <w:rsid w:val="7CEEA84D"/>
    <w:rsid w:val="7CFE9D2C"/>
    <w:rsid w:val="7D1CA65A"/>
    <w:rsid w:val="7D220261"/>
    <w:rsid w:val="7D250C87"/>
    <w:rsid w:val="7D4C073C"/>
    <w:rsid w:val="7D953814"/>
    <w:rsid w:val="7DA34EE4"/>
    <w:rsid w:val="7DBF0310"/>
    <w:rsid w:val="7DC76718"/>
    <w:rsid w:val="7DF3F8CB"/>
    <w:rsid w:val="7E07945D"/>
    <w:rsid w:val="7E10A6FF"/>
    <w:rsid w:val="7E43BEAE"/>
    <w:rsid w:val="7E452542"/>
    <w:rsid w:val="7E8453F6"/>
    <w:rsid w:val="7E8E76FE"/>
    <w:rsid w:val="7E943D86"/>
    <w:rsid w:val="7ED32CBD"/>
    <w:rsid w:val="7ED5F75D"/>
    <w:rsid w:val="7EE36D3D"/>
    <w:rsid w:val="7EFA7232"/>
    <w:rsid w:val="7EFCBC1C"/>
    <w:rsid w:val="7EFF1798"/>
    <w:rsid w:val="7F3C0D8C"/>
    <w:rsid w:val="7F6EDD6D"/>
    <w:rsid w:val="7F7DD408"/>
    <w:rsid w:val="7F7F3191"/>
    <w:rsid w:val="7F80F30B"/>
    <w:rsid w:val="7F9B8789"/>
    <w:rsid w:val="7FA018A2"/>
    <w:rsid w:val="7FA1C3F9"/>
    <w:rsid w:val="7FCF5FB6"/>
    <w:rsid w:val="7FE3E2BB"/>
    <w:rsid w:val="7FEA164B"/>
    <w:rsid w:val="7FEC3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F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color w:val="000000" w:themeColor="text1"/>
        <w:lang w:val="en-AU" w:eastAsia="en-US" w:bidi="ar-SA"/>
      </w:rPr>
    </w:rPrDefault>
    <w:pPrDefault>
      <w:pPr>
        <w:spacing w:before="120" w:after="120"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37B"/>
  </w:style>
  <w:style w:type="paragraph" w:styleId="Heading1">
    <w:name w:val="heading 1"/>
    <w:basedOn w:val="Normal"/>
    <w:next w:val="Normal"/>
    <w:link w:val="Heading1Char"/>
    <w:uiPriority w:val="9"/>
    <w:qFormat/>
    <w:rsid w:val="002603C4"/>
    <w:pPr>
      <w:keepNext/>
      <w:keepLines/>
      <w:spacing w:before="360"/>
      <w:contextualSpacing/>
      <w:outlineLvl w:val="0"/>
    </w:pPr>
    <w:rPr>
      <w:rFonts w:asciiTheme="majorHAnsi" w:hAnsiTheme="majorHAnsi"/>
      <w:b/>
      <w:sz w:val="24"/>
      <w:szCs w:val="44"/>
    </w:rPr>
  </w:style>
  <w:style w:type="paragraph" w:styleId="Heading2">
    <w:name w:val="heading 2"/>
    <w:basedOn w:val="Normal"/>
    <w:next w:val="Normal"/>
    <w:link w:val="Heading2Char"/>
    <w:uiPriority w:val="9"/>
    <w:qFormat/>
    <w:rsid w:val="00A82DD2"/>
    <w:pPr>
      <w:keepNext/>
      <w:keepLines/>
      <w:spacing w:before="240"/>
      <w:contextualSpacing/>
      <w:outlineLvl w:val="1"/>
    </w:pPr>
    <w:rPr>
      <w:rFonts w:asciiTheme="majorHAnsi" w:hAnsiTheme="majorHAnsi"/>
      <w:b/>
      <w:szCs w:val="28"/>
    </w:rPr>
  </w:style>
  <w:style w:type="paragraph" w:styleId="Heading3">
    <w:name w:val="heading 3"/>
    <w:basedOn w:val="Normal"/>
    <w:next w:val="Normal"/>
    <w:link w:val="Heading3Char"/>
    <w:uiPriority w:val="9"/>
    <w:qFormat/>
    <w:rsid w:val="00A82DD2"/>
    <w:pPr>
      <w:keepNext/>
      <w:keepLines/>
      <w:spacing w:before="240"/>
      <w:contextualSpacing/>
      <w:outlineLvl w:val="2"/>
    </w:pPr>
    <w:rPr>
      <w:rFonts w:asciiTheme="majorHAnsi" w:hAnsiTheme="majorHAnsi"/>
      <w:b/>
      <w:i/>
      <w:color w:val="auto"/>
    </w:rPr>
  </w:style>
  <w:style w:type="paragraph" w:styleId="Heading4">
    <w:name w:val="heading 4"/>
    <w:basedOn w:val="Normal"/>
    <w:next w:val="Normal"/>
    <w:link w:val="Heading4Char"/>
    <w:uiPriority w:val="9"/>
    <w:semiHidden/>
    <w:qFormat/>
    <w:rsid w:val="0090200C"/>
    <w:pPr>
      <w:keepNext/>
      <w:keepLines/>
      <w:spacing w:before="240"/>
      <w:contextualSpacing/>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0200C"/>
    <w:pPr>
      <w:keepNext/>
      <w:keepLines/>
      <w:spacing w:before="240"/>
      <w:contextualSpacing/>
      <w:outlineLvl w:val="4"/>
    </w:pPr>
    <w:rPr>
      <w:rFonts w:asciiTheme="majorHAnsi" w:eastAsiaTheme="majorEastAsia" w:hAnsiTheme="majorHAnsi" w:cstheme="majorBidi"/>
      <w:b/>
      <w:i/>
      <w:color w:val="auto"/>
    </w:rPr>
  </w:style>
  <w:style w:type="paragraph" w:styleId="Heading6">
    <w:name w:val="heading 6"/>
    <w:basedOn w:val="Normal"/>
    <w:next w:val="Normal"/>
    <w:link w:val="Heading6Char"/>
    <w:uiPriority w:val="9"/>
    <w:semiHidden/>
    <w:qFormat/>
    <w:rsid w:val="004B38F6"/>
    <w:pPr>
      <w:keepNext/>
      <w:keepLines/>
      <w:spacing w:before="240"/>
      <w:contextualSpacing/>
      <w:outlineLvl w:val="5"/>
    </w:pPr>
    <w:rPr>
      <w:rFonts w:asciiTheme="majorHAnsi" w:eastAsiaTheme="majorEastAsia" w:hAnsiTheme="majorHAnsi" w:cstheme="majorBidi"/>
      <w:b/>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8"/>
    <w:qFormat/>
    <w:rsid w:val="00C51B20"/>
    <w:pPr>
      <w:spacing w:after="480" w:line="240" w:lineRule="auto"/>
      <w:contextualSpacing/>
    </w:pPr>
    <w:rPr>
      <w:b/>
      <w:sz w:val="32"/>
      <w:szCs w:val="24"/>
    </w:rPr>
  </w:style>
  <w:style w:type="character" w:customStyle="1" w:styleId="SubtitleChar">
    <w:name w:val="Subtitle Char"/>
    <w:basedOn w:val="DefaultParagraphFont"/>
    <w:link w:val="Subtitle"/>
    <w:uiPriority w:val="18"/>
    <w:rsid w:val="00C51B20"/>
    <w:rPr>
      <w:b/>
      <w:sz w:val="32"/>
      <w:szCs w:val="24"/>
    </w:rPr>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5E3C4D"/>
    <w:pPr>
      <w:tabs>
        <w:tab w:val="center" w:pos="4513"/>
        <w:tab w:val="right" w:pos="9026"/>
      </w:tabs>
      <w:spacing w:before="0" w:after="0" w:line="240" w:lineRule="auto"/>
      <w:ind w:right="-1701"/>
    </w:pPr>
    <w:rPr>
      <w:sz w:val="14"/>
    </w:rPr>
  </w:style>
  <w:style w:type="character" w:customStyle="1" w:styleId="HeaderChar">
    <w:name w:val="Header Char"/>
    <w:basedOn w:val="DefaultParagraphFont"/>
    <w:link w:val="Header"/>
    <w:uiPriority w:val="99"/>
    <w:rsid w:val="005E3C4D"/>
    <w:rPr>
      <w:sz w:val="14"/>
    </w:rPr>
  </w:style>
  <w:style w:type="paragraph" w:styleId="Footer">
    <w:name w:val="footer"/>
    <w:basedOn w:val="Normal"/>
    <w:link w:val="FooterChar"/>
    <w:uiPriority w:val="99"/>
    <w:unhideWhenUsed/>
    <w:rsid w:val="005E3C4D"/>
    <w:pPr>
      <w:tabs>
        <w:tab w:val="right" w:pos="10206"/>
      </w:tabs>
      <w:spacing w:before="0" w:after="0" w:line="240" w:lineRule="auto"/>
      <w:ind w:right="-1701"/>
    </w:pPr>
    <w:rPr>
      <w:sz w:val="14"/>
    </w:rPr>
  </w:style>
  <w:style w:type="character" w:customStyle="1" w:styleId="FooterChar">
    <w:name w:val="Footer Char"/>
    <w:basedOn w:val="DefaultParagraphFont"/>
    <w:link w:val="Footer"/>
    <w:uiPriority w:val="99"/>
    <w:rsid w:val="005E3C4D"/>
    <w:rPr>
      <w:sz w:val="14"/>
    </w:rPr>
  </w:style>
  <w:style w:type="paragraph" w:styleId="Title">
    <w:name w:val="Title"/>
    <w:basedOn w:val="Normal"/>
    <w:link w:val="TitleChar"/>
    <w:uiPriority w:val="17"/>
    <w:qFormat/>
    <w:rsid w:val="0086137B"/>
    <w:pPr>
      <w:spacing w:line="240" w:lineRule="auto"/>
      <w:contextualSpacing/>
    </w:pPr>
    <w:rPr>
      <w:b/>
      <w:sz w:val="56"/>
      <w:szCs w:val="82"/>
    </w:rPr>
  </w:style>
  <w:style w:type="character" w:customStyle="1" w:styleId="TitleChar">
    <w:name w:val="Title Char"/>
    <w:basedOn w:val="DefaultParagraphFont"/>
    <w:link w:val="Title"/>
    <w:uiPriority w:val="17"/>
    <w:rsid w:val="0086137B"/>
    <w:rPr>
      <w:b/>
      <w:sz w:val="56"/>
      <w:szCs w:val="82"/>
    </w:rPr>
  </w:style>
  <w:style w:type="paragraph" w:customStyle="1" w:styleId="Address">
    <w:name w:val="Address"/>
    <w:basedOn w:val="Normal"/>
    <w:semiHidden/>
    <w:rsid w:val="00191178"/>
    <w:pPr>
      <w:spacing w:before="0" w:after="0"/>
    </w:pPr>
    <w:rPr>
      <w:b/>
      <w:color w:val="17D3A1" w:themeColor="accent1"/>
    </w:rPr>
  </w:style>
  <w:style w:type="character" w:customStyle="1" w:styleId="Heading1Char">
    <w:name w:val="Heading 1 Char"/>
    <w:basedOn w:val="DefaultParagraphFont"/>
    <w:link w:val="Heading1"/>
    <w:uiPriority w:val="9"/>
    <w:rsid w:val="002603C4"/>
    <w:rPr>
      <w:rFonts w:asciiTheme="majorHAnsi" w:hAnsiTheme="majorHAnsi"/>
      <w:b/>
      <w:sz w:val="24"/>
      <w:szCs w:val="44"/>
    </w:rPr>
  </w:style>
  <w:style w:type="character" w:customStyle="1" w:styleId="Heading2Char">
    <w:name w:val="Heading 2 Char"/>
    <w:basedOn w:val="DefaultParagraphFont"/>
    <w:link w:val="Heading2"/>
    <w:uiPriority w:val="9"/>
    <w:rsid w:val="00A82DD2"/>
    <w:rPr>
      <w:rFonts w:asciiTheme="majorHAnsi" w:hAnsiTheme="majorHAnsi"/>
      <w:b/>
      <w:szCs w:val="28"/>
    </w:rPr>
  </w:style>
  <w:style w:type="character" w:customStyle="1" w:styleId="Heading3Char">
    <w:name w:val="Heading 3 Char"/>
    <w:basedOn w:val="DefaultParagraphFont"/>
    <w:link w:val="Heading3"/>
    <w:uiPriority w:val="9"/>
    <w:rsid w:val="00A82DD2"/>
    <w:rPr>
      <w:rFonts w:asciiTheme="majorHAnsi" w:hAnsiTheme="majorHAnsi"/>
      <w:b/>
      <w:i/>
      <w:color w:val="auto"/>
    </w:rPr>
  </w:style>
  <w:style w:type="paragraph" w:styleId="TOCHeading">
    <w:name w:val="TOC Heading"/>
    <w:basedOn w:val="Heading1"/>
    <w:next w:val="Normal"/>
    <w:uiPriority w:val="39"/>
    <w:qFormat/>
    <w:rsid w:val="00E60826"/>
    <w:pPr>
      <w:contextualSpacing w:val="0"/>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4D0DC8"/>
    <w:pPr>
      <w:spacing w:before="0" w:after="0" w:line="240" w:lineRule="auto"/>
    </w:pPr>
    <w:rPr>
      <w:sz w:val="14"/>
    </w:rPr>
  </w:style>
  <w:style w:type="character" w:customStyle="1" w:styleId="FootnoteTextChar">
    <w:name w:val="Footnote Text Char"/>
    <w:basedOn w:val="DefaultParagraphFont"/>
    <w:link w:val="FootnoteText"/>
    <w:uiPriority w:val="99"/>
    <w:rsid w:val="004D0DC8"/>
    <w:rPr>
      <w:sz w:val="14"/>
    </w:rPr>
  </w:style>
  <w:style w:type="character" w:styleId="Hyperlink">
    <w:name w:val="Hyperlink"/>
    <w:basedOn w:val="DefaultParagraphFont"/>
    <w:uiPriority w:val="99"/>
    <w:unhideWhenUsed/>
    <w:rsid w:val="00D36C76"/>
    <w:rPr>
      <w:color w:val="002C6F" w:themeColor="text2"/>
      <w:u w:val="single"/>
    </w:rPr>
  </w:style>
  <w:style w:type="paragraph" w:styleId="ListBullet">
    <w:name w:val="List Bullet"/>
    <w:basedOn w:val="Normal"/>
    <w:uiPriority w:val="2"/>
    <w:qFormat/>
    <w:rsid w:val="00F71556"/>
    <w:pPr>
      <w:numPr>
        <w:numId w:val="2"/>
      </w:numPr>
    </w:pPr>
    <w:rPr>
      <w:rFonts w:eastAsia="Times New Roman"/>
      <w:lang w:eastAsia="en-AU"/>
    </w:rPr>
  </w:style>
  <w:style w:type="paragraph" w:styleId="ListNumber">
    <w:name w:val="List Number"/>
    <w:basedOn w:val="Normal"/>
    <w:uiPriority w:val="2"/>
    <w:qFormat/>
    <w:rsid w:val="00F71556"/>
    <w:pPr>
      <w:numPr>
        <w:numId w:val="5"/>
      </w:numPr>
    </w:pPr>
    <w:rPr>
      <w:rFonts w:eastAsia="Times New Roman"/>
      <w:lang w:eastAsia="en-AU"/>
    </w:rPr>
  </w:style>
  <w:style w:type="table" w:customStyle="1" w:styleId="NZEATable">
    <w:name w:val="NZEA Table"/>
    <w:basedOn w:val="TableNormal"/>
    <w:uiPriority w:val="99"/>
    <w:rsid w:val="00FC327A"/>
    <w:pPr>
      <w:spacing w:line="240" w:lineRule="auto"/>
    </w:pPr>
    <w:tblPr>
      <w:tblStyleRowBandSize w:val="1"/>
      <w:tblBorders>
        <w:top w:val="single" w:sz="4" w:space="0" w:color="auto"/>
        <w:bottom w:val="single" w:sz="4" w:space="0" w:color="auto"/>
        <w:insideH w:val="single" w:sz="4" w:space="0" w:color="auto"/>
      </w:tblBorders>
    </w:tblPr>
    <w:tblStylePr w:type="firstRow">
      <w:rPr>
        <w:b/>
        <w:color w:val="FFFFFF" w:themeColor="background1"/>
        <w:sz w:val="20"/>
      </w:rPr>
      <w:tblPr/>
      <w:trPr>
        <w:tblHeader/>
      </w:trPr>
      <w:tcPr>
        <w:shd w:val="clear" w:color="auto" w:fill="000000" w:themeFill="text1"/>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17D3A1" w:themeFill="accent1"/>
      </w:tcPr>
    </w:tblStylePr>
  </w:style>
  <w:style w:type="paragraph" w:styleId="TOC1">
    <w:name w:val="toc 1"/>
    <w:basedOn w:val="Normal"/>
    <w:next w:val="Normal"/>
    <w:autoRedefine/>
    <w:uiPriority w:val="39"/>
    <w:rsid w:val="00DE1A41"/>
    <w:pPr>
      <w:tabs>
        <w:tab w:val="right" w:leader="dot" w:pos="8381"/>
      </w:tabs>
      <w:spacing w:after="60" w:line="240" w:lineRule="auto"/>
    </w:pPr>
    <w:rPr>
      <w:b/>
    </w:rPr>
  </w:style>
  <w:style w:type="table" w:styleId="LightShading-Accent1">
    <w:name w:val="Light Shading Accent 1"/>
    <w:basedOn w:val="TableNormal"/>
    <w:uiPriority w:val="60"/>
    <w:rsid w:val="00056BC0"/>
    <w:rPr>
      <w:color w:val="119D78" w:themeColor="accent1" w:themeShade="BF"/>
    </w:rPr>
    <w:tblPr>
      <w:tblStyleRowBandSize w:val="1"/>
      <w:tblStyleColBandSize w:val="1"/>
      <w:tblBorders>
        <w:top w:val="single" w:sz="8" w:space="0" w:color="17D3A1" w:themeColor="accent1"/>
        <w:bottom w:val="single" w:sz="8" w:space="0" w:color="17D3A1" w:themeColor="accent1"/>
      </w:tblBorders>
    </w:tblPr>
    <w:tblStylePr w:type="firstRow">
      <w:pPr>
        <w:spacing w:before="0" w:after="0" w:line="240" w:lineRule="auto"/>
      </w:pPr>
      <w:rPr>
        <w:b/>
        <w:bCs/>
      </w:rPr>
      <w:tblPr/>
      <w:tcPr>
        <w:tcBorders>
          <w:top w:val="single" w:sz="8" w:space="0" w:color="17D3A1" w:themeColor="accent1"/>
          <w:left w:val="nil"/>
          <w:bottom w:val="single" w:sz="8" w:space="0" w:color="17D3A1" w:themeColor="accent1"/>
          <w:right w:val="nil"/>
          <w:insideH w:val="nil"/>
          <w:insideV w:val="nil"/>
        </w:tcBorders>
      </w:tcPr>
    </w:tblStylePr>
    <w:tblStylePr w:type="lastRow">
      <w:pPr>
        <w:spacing w:before="0" w:after="0" w:line="240" w:lineRule="auto"/>
      </w:pPr>
      <w:rPr>
        <w:b/>
        <w:bCs/>
      </w:rPr>
      <w:tblPr/>
      <w:tcPr>
        <w:tcBorders>
          <w:top w:val="single" w:sz="8" w:space="0" w:color="17D3A1" w:themeColor="accent1"/>
          <w:left w:val="nil"/>
          <w:bottom w:val="single" w:sz="8" w:space="0" w:color="17D3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8E9" w:themeFill="accent1" w:themeFillTint="3F"/>
      </w:tcPr>
    </w:tblStylePr>
    <w:tblStylePr w:type="band1Horz">
      <w:tblPr/>
      <w:tcPr>
        <w:tcBorders>
          <w:left w:val="nil"/>
          <w:right w:val="nil"/>
          <w:insideH w:val="nil"/>
          <w:insideV w:val="nil"/>
        </w:tcBorders>
        <w:shd w:val="clear" w:color="auto" w:fill="C1F8E9"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D3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D3A1" w:themeFill="accent1"/>
      </w:tcPr>
    </w:tblStylePr>
    <w:tblStylePr w:type="lastCol">
      <w:rPr>
        <w:b/>
        <w:bCs/>
        <w:color w:val="FFFFFF" w:themeColor="background1"/>
      </w:rPr>
      <w:tblPr/>
      <w:tcPr>
        <w:tcBorders>
          <w:left w:val="nil"/>
          <w:right w:val="nil"/>
          <w:insideH w:val="nil"/>
          <w:insideV w:val="nil"/>
        </w:tcBorders>
        <w:shd w:val="clear" w:color="auto" w:fill="17D3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DE1A41"/>
    <w:pPr>
      <w:spacing w:before="60" w:after="60" w:line="240" w:lineRule="auto"/>
      <w:ind w:left="221"/>
    </w:pPr>
  </w:style>
  <w:style w:type="paragraph" w:styleId="ListBullet2">
    <w:name w:val="List Bullet 2"/>
    <w:basedOn w:val="Normal"/>
    <w:uiPriority w:val="2"/>
    <w:semiHidden/>
    <w:qFormat/>
    <w:rsid w:val="00F71556"/>
    <w:pPr>
      <w:numPr>
        <w:ilvl w:val="1"/>
        <w:numId w:val="2"/>
      </w:numPr>
    </w:pPr>
    <w:rPr>
      <w:rFonts w:eastAsia="Times New Roman"/>
      <w:lang w:eastAsia="en-AU"/>
    </w:rPr>
  </w:style>
  <w:style w:type="character" w:customStyle="1" w:styleId="Heading4Char">
    <w:name w:val="Heading 4 Char"/>
    <w:basedOn w:val="DefaultParagraphFont"/>
    <w:link w:val="Heading4"/>
    <w:uiPriority w:val="9"/>
    <w:semiHidden/>
    <w:rsid w:val="0086137B"/>
    <w:rPr>
      <w:rFonts w:asciiTheme="majorHAnsi" w:eastAsiaTheme="majorEastAsia" w:hAnsiTheme="majorHAnsi" w:cstheme="majorBidi"/>
      <w:b/>
      <w:iCs/>
    </w:rPr>
  </w:style>
  <w:style w:type="paragraph" w:styleId="ListBullet3">
    <w:name w:val="List Bullet 3"/>
    <w:basedOn w:val="Normal"/>
    <w:uiPriority w:val="2"/>
    <w:semiHidden/>
    <w:rsid w:val="00F71556"/>
    <w:pPr>
      <w:numPr>
        <w:ilvl w:val="2"/>
        <w:numId w:val="2"/>
      </w:numPr>
    </w:pPr>
    <w:rPr>
      <w:rFonts w:eastAsia="Times New Roman"/>
      <w:lang w:eastAsia="en-AU"/>
    </w:rPr>
  </w:style>
  <w:style w:type="paragraph" w:styleId="ListBullet4">
    <w:name w:val="List Bullet 4"/>
    <w:basedOn w:val="Normal"/>
    <w:uiPriority w:val="2"/>
    <w:semiHidden/>
    <w:rsid w:val="00F71556"/>
    <w:pPr>
      <w:numPr>
        <w:ilvl w:val="3"/>
        <w:numId w:val="2"/>
      </w:numPr>
    </w:pPr>
    <w:rPr>
      <w:rFonts w:eastAsia="Times New Roman"/>
      <w:lang w:eastAsia="en-AU"/>
    </w:rPr>
  </w:style>
  <w:style w:type="paragraph" w:styleId="ListBullet5">
    <w:name w:val="List Bullet 5"/>
    <w:basedOn w:val="Normal"/>
    <w:uiPriority w:val="2"/>
    <w:semiHidden/>
    <w:rsid w:val="00F71556"/>
    <w:pPr>
      <w:numPr>
        <w:ilvl w:val="4"/>
        <w:numId w:val="2"/>
      </w:numPr>
    </w:pPr>
    <w:rPr>
      <w:rFonts w:eastAsia="Times New Roman"/>
      <w:lang w:eastAsia="en-AU"/>
    </w:rPr>
  </w:style>
  <w:style w:type="paragraph" w:styleId="ListNumber2">
    <w:name w:val="List Number 2"/>
    <w:basedOn w:val="Normal"/>
    <w:uiPriority w:val="2"/>
    <w:semiHidden/>
    <w:rsid w:val="00F71556"/>
    <w:pPr>
      <w:numPr>
        <w:ilvl w:val="1"/>
        <w:numId w:val="5"/>
      </w:numPr>
    </w:pPr>
    <w:rPr>
      <w:rFonts w:eastAsia="Times New Roman"/>
      <w:lang w:eastAsia="en-AU"/>
    </w:rPr>
  </w:style>
  <w:style w:type="paragraph" w:styleId="ListNumber3">
    <w:name w:val="List Number 3"/>
    <w:basedOn w:val="Normal"/>
    <w:uiPriority w:val="2"/>
    <w:semiHidden/>
    <w:rsid w:val="00F71556"/>
    <w:pPr>
      <w:numPr>
        <w:ilvl w:val="2"/>
        <w:numId w:val="5"/>
      </w:numPr>
    </w:pPr>
    <w:rPr>
      <w:rFonts w:eastAsia="Times New Roman"/>
      <w:lang w:eastAsia="en-AU"/>
    </w:rPr>
  </w:style>
  <w:style w:type="paragraph" w:styleId="ListNumber4">
    <w:name w:val="List Number 4"/>
    <w:basedOn w:val="Normal"/>
    <w:uiPriority w:val="2"/>
    <w:semiHidden/>
    <w:rsid w:val="00F71556"/>
    <w:pPr>
      <w:numPr>
        <w:ilvl w:val="3"/>
        <w:numId w:val="5"/>
      </w:numPr>
    </w:pPr>
    <w:rPr>
      <w:rFonts w:eastAsia="Times New Roman"/>
      <w:lang w:eastAsia="en-AU"/>
    </w:rPr>
  </w:style>
  <w:style w:type="paragraph" w:styleId="ListNumber5">
    <w:name w:val="List Number 5"/>
    <w:basedOn w:val="Normal"/>
    <w:uiPriority w:val="2"/>
    <w:semiHidden/>
    <w:rsid w:val="00F71556"/>
    <w:pPr>
      <w:numPr>
        <w:ilvl w:val="4"/>
        <w:numId w:val="5"/>
      </w:numPr>
    </w:pPr>
    <w:rPr>
      <w:rFonts w:eastAsia="Times New Roman"/>
      <w:lang w:eastAsia="en-AU"/>
    </w:rPr>
  </w:style>
  <w:style w:type="paragraph" w:styleId="List">
    <w:name w:val="List"/>
    <w:aliases w:val="Letter"/>
    <w:basedOn w:val="Normal"/>
    <w:uiPriority w:val="2"/>
    <w:rsid w:val="00F71556"/>
    <w:pPr>
      <w:numPr>
        <w:numId w:val="3"/>
      </w:numPr>
    </w:pPr>
    <w:rPr>
      <w:rFonts w:eastAsia="Times New Roman"/>
      <w:lang w:eastAsia="en-AU"/>
    </w:rPr>
  </w:style>
  <w:style w:type="paragraph" w:customStyle="1" w:styleId="SectionHeading">
    <w:name w:val="Section Heading"/>
    <w:basedOn w:val="Normal"/>
    <w:uiPriority w:val="8"/>
    <w:rsid w:val="00D02F69"/>
    <w:pPr>
      <w:spacing w:before="0" w:after="0" w:line="240" w:lineRule="auto"/>
    </w:pPr>
    <w:rPr>
      <w:rFonts w:asciiTheme="majorHAnsi" w:hAnsiTheme="majorHAnsi"/>
      <w:b/>
      <w:color w:val="auto"/>
      <w:sz w:val="80"/>
      <w:szCs w:val="60"/>
    </w:rPr>
  </w:style>
  <w:style w:type="paragraph" w:styleId="Caption">
    <w:name w:val="caption"/>
    <w:basedOn w:val="Normal"/>
    <w:next w:val="Normal"/>
    <w:uiPriority w:val="11"/>
    <w:qFormat/>
    <w:rsid w:val="008E6310"/>
    <w:pPr>
      <w:keepNext/>
      <w:keepLines/>
      <w:numPr>
        <w:numId w:val="4"/>
      </w:numPr>
      <w:spacing w:before="360" w:line="240" w:lineRule="auto"/>
      <w:contextualSpacing/>
    </w:pPr>
    <w:rPr>
      <w:iCs/>
      <w:sz w:val="16"/>
    </w:rPr>
  </w:style>
  <w:style w:type="character" w:styleId="PlaceholderText">
    <w:name w:val="Placeholder Text"/>
    <w:basedOn w:val="DefaultParagraphFont"/>
    <w:uiPriority w:val="99"/>
    <w:semiHidden/>
    <w:rsid w:val="00D02F69"/>
    <w:rPr>
      <w:color w:val="666666"/>
    </w:rPr>
  </w:style>
  <w:style w:type="paragraph" w:styleId="TOC3">
    <w:name w:val="toc 3"/>
    <w:basedOn w:val="Normal"/>
    <w:next w:val="Normal"/>
    <w:autoRedefine/>
    <w:uiPriority w:val="39"/>
    <w:unhideWhenUsed/>
    <w:rsid w:val="00DE1A41"/>
    <w:pPr>
      <w:spacing w:before="60" w:after="60"/>
      <w:ind w:left="442"/>
    </w:p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FFA890" w:themeColor="accent4" w:themeTint="99"/>
        <w:bottom w:val="single" w:sz="4" w:space="0" w:color="FFA890" w:themeColor="accent4" w:themeTint="99"/>
        <w:insideH w:val="single" w:sz="4" w:space="0" w:color="FFA89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DA" w:themeFill="accent4" w:themeFillTint="33"/>
      </w:tcPr>
    </w:tblStylePr>
    <w:tblStylePr w:type="band1Horz">
      <w:tblPr/>
      <w:tcPr>
        <w:shd w:val="clear" w:color="auto" w:fill="FFE1DA" w:themeFill="accent4" w:themeFillTint="33"/>
      </w:tcPr>
    </w:tblStylePr>
  </w:style>
  <w:style w:type="paragraph" w:styleId="Date">
    <w:name w:val="Date"/>
    <w:basedOn w:val="NoSpacing"/>
    <w:next w:val="Normal"/>
    <w:link w:val="DateChar"/>
    <w:uiPriority w:val="99"/>
    <w:rsid w:val="0090200C"/>
    <w:pPr>
      <w:spacing w:after="40"/>
      <w:jc w:val="right"/>
    </w:pPr>
    <w:rPr>
      <w:b/>
      <w:bCs/>
    </w:rPr>
  </w:style>
  <w:style w:type="character" w:customStyle="1" w:styleId="DateChar">
    <w:name w:val="Date Char"/>
    <w:basedOn w:val="DefaultParagraphFont"/>
    <w:link w:val="Date"/>
    <w:uiPriority w:val="99"/>
    <w:rsid w:val="0090200C"/>
    <w:rPr>
      <w:b/>
      <w:bCs/>
    </w:rPr>
  </w:style>
  <w:style w:type="character" w:customStyle="1" w:styleId="Heading5Char">
    <w:name w:val="Heading 5 Char"/>
    <w:basedOn w:val="DefaultParagraphFont"/>
    <w:link w:val="Heading5"/>
    <w:uiPriority w:val="9"/>
    <w:semiHidden/>
    <w:rsid w:val="0086137B"/>
    <w:rPr>
      <w:rFonts w:asciiTheme="majorHAnsi" w:eastAsiaTheme="majorEastAsia" w:hAnsiTheme="majorHAnsi" w:cstheme="majorBidi"/>
      <w:b/>
      <w:i/>
      <w:color w:val="auto"/>
    </w:rPr>
  </w:style>
  <w:style w:type="character" w:customStyle="1" w:styleId="Heading6Char">
    <w:name w:val="Heading 6 Char"/>
    <w:basedOn w:val="DefaultParagraphFont"/>
    <w:link w:val="Heading6"/>
    <w:uiPriority w:val="9"/>
    <w:semiHidden/>
    <w:rsid w:val="0090200C"/>
    <w:rPr>
      <w:rFonts w:asciiTheme="majorHAnsi" w:eastAsiaTheme="majorEastAsia" w:hAnsiTheme="majorHAnsi" w:cstheme="majorBidi"/>
      <w:b/>
      <w:i/>
      <w:color w:val="auto"/>
    </w:rPr>
  </w:style>
  <w:style w:type="paragraph" w:styleId="NoSpacing">
    <w:name w:val="No Spacing"/>
    <w:uiPriority w:val="1"/>
    <w:rsid w:val="008B513E"/>
    <w:pPr>
      <w:spacing w:before="0" w:after="0" w:line="240" w:lineRule="auto"/>
    </w:pPr>
  </w:style>
  <w:style w:type="character" w:customStyle="1" w:styleId="UnresolvedMention">
    <w:name w:val="Unresolved Mention"/>
    <w:basedOn w:val="DefaultParagraphFont"/>
    <w:uiPriority w:val="99"/>
    <w:semiHidden/>
    <w:unhideWhenUsed/>
    <w:rsid w:val="00AC4B47"/>
    <w:rPr>
      <w:color w:val="605E5C"/>
      <w:shd w:val="clear" w:color="auto" w:fill="E1DFDD"/>
    </w:rPr>
  </w:style>
  <w:style w:type="character" w:styleId="CommentReference">
    <w:name w:val="annotation reference"/>
    <w:basedOn w:val="DefaultParagraphFont"/>
    <w:uiPriority w:val="99"/>
    <w:semiHidden/>
    <w:unhideWhenUsed/>
    <w:rsid w:val="00747679"/>
    <w:rPr>
      <w:sz w:val="16"/>
      <w:szCs w:val="16"/>
    </w:rPr>
  </w:style>
  <w:style w:type="paragraph" w:styleId="CommentText">
    <w:name w:val="annotation text"/>
    <w:basedOn w:val="Normal"/>
    <w:link w:val="CommentTextChar"/>
    <w:uiPriority w:val="99"/>
    <w:unhideWhenUsed/>
    <w:rsid w:val="00747679"/>
    <w:pPr>
      <w:spacing w:line="240" w:lineRule="auto"/>
    </w:pPr>
  </w:style>
  <w:style w:type="character" w:customStyle="1" w:styleId="CommentTextChar">
    <w:name w:val="Comment Text Char"/>
    <w:basedOn w:val="DefaultParagraphFont"/>
    <w:link w:val="CommentText"/>
    <w:uiPriority w:val="99"/>
    <w:rsid w:val="00747679"/>
  </w:style>
  <w:style w:type="paragraph" w:styleId="CommentSubject">
    <w:name w:val="annotation subject"/>
    <w:basedOn w:val="CommentText"/>
    <w:next w:val="CommentText"/>
    <w:link w:val="CommentSubjectChar"/>
    <w:uiPriority w:val="99"/>
    <w:semiHidden/>
    <w:unhideWhenUsed/>
    <w:rsid w:val="00747679"/>
    <w:rPr>
      <w:b/>
      <w:bCs/>
    </w:rPr>
  </w:style>
  <w:style w:type="character" w:customStyle="1" w:styleId="CommentSubjectChar">
    <w:name w:val="Comment Subject Char"/>
    <w:basedOn w:val="CommentTextChar"/>
    <w:link w:val="CommentSubject"/>
    <w:uiPriority w:val="99"/>
    <w:semiHidden/>
    <w:rsid w:val="00747679"/>
    <w:rPr>
      <w:b/>
      <w:bCs/>
    </w:rPr>
  </w:style>
  <w:style w:type="character" w:customStyle="1" w:styleId="normaltextrun">
    <w:name w:val="normaltextrun"/>
    <w:basedOn w:val="DefaultParagraphFont"/>
    <w:rsid w:val="00DA3DB0"/>
  </w:style>
  <w:style w:type="character" w:customStyle="1" w:styleId="eop">
    <w:name w:val="eop"/>
    <w:basedOn w:val="DefaultParagraphFont"/>
    <w:rsid w:val="00DA3DB0"/>
  </w:style>
  <w:style w:type="paragraph" w:customStyle="1" w:styleId="paragraph">
    <w:name w:val="paragraph"/>
    <w:basedOn w:val="Normal"/>
    <w:rsid w:val="00DA3DB0"/>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ListParagraph">
    <w:name w:val="List Paragraph"/>
    <w:basedOn w:val="Normal"/>
    <w:uiPriority w:val="34"/>
    <w:rsid w:val="002C5058"/>
    <w:pPr>
      <w:ind w:left="720"/>
      <w:contextualSpacing/>
    </w:pPr>
  </w:style>
  <w:style w:type="character" w:styleId="FollowedHyperlink">
    <w:name w:val="FollowedHyperlink"/>
    <w:basedOn w:val="DefaultParagraphFont"/>
    <w:uiPriority w:val="99"/>
    <w:semiHidden/>
    <w:unhideWhenUsed/>
    <w:rsid w:val="00E657B8"/>
    <w:rPr>
      <w:color w:val="002C6F" w:themeColor="followedHyperlink"/>
      <w:u w:val="single"/>
    </w:rPr>
  </w:style>
  <w:style w:type="paragraph" w:styleId="NormalWeb">
    <w:name w:val="Normal (Web)"/>
    <w:basedOn w:val="Normal"/>
    <w:uiPriority w:val="99"/>
    <w:unhideWhenUsed/>
    <w:rsid w:val="00CA72E5"/>
    <w:pPr>
      <w:spacing w:before="100" w:beforeAutospacing="1" w:after="100" w:afterAutospacing="1" w:line="240" w:lineRule="auto"/>
    </w:pPr>
    <w:rPr>
      <w:rFonts w:ascii="Times New Roman" w:eastAsia="Times New Roman" w:hAnsi="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72958">
      <w:bodyDiv w:val="1"/>
      <w:marLeft w:val="0"/>
      <w:marRight w:val="0"/>
      <w:marTop w:val="0"/>
      <w:marBottom w:val="0"/>
      <w:divBdr>
        <w:top w:val="none" w:sz="0" w:space="0" w:color="auto"/>
        <w:left w:val="none" w:sz="0" w:space="0" w:color="auto"/>
        <w:bottom w:val="none" w:sz="0" w:space="0" w:color="auto"/>
        <w:right w:val="none" w:sz="0" w:space="0" w:color="auto"/>
      </w:divBdr>
      <w:divsChild>
        <w:div w:id="317340969">
          <w:marLeft w:val="0"/>
          <w:marRight w:val="0"/>
          <w:marTop w:val="0"/>
          <w:marBottom w:val="0"/>
          <w:divBdr>
            <w:top w:val="none" w:sz="0" w:space="0" w:color="auto"/>
            <w:left w:val="none" w:sz="0" w:space="0" w:color="auto"/>
            <w:bottom w:val="none" w:sz="0" w:space="0" w:color="auto"/>
            <w:right w:val="none" w:sz="0" w:space="0" w:color="auto"/>
          </w:divBdr>
          <w:divsChild>
            <w:div w:id="1487091423">
              <w:marLeft w:val="0"/>
              <w:marRight w:val="0"/>
              <w:marTop w:val="0"/>
              <w:marBottom w:val="0"/>
              <w:divBdr>
                <w:top w:val="none" w:sz="0" w:space="0" w:color="auto"/>
                <w:left w:val="none" w:sz="0" w:space="0" w:color="auto"/>
                <w:bottom w:val="none" w:sz="0" w:space="0" w:color="auto"/>
                <w:right w:val="none" w:sz="0" w:space="0" w:color="auto"/>
              </w:divBdr>
            </w:div>
            <w:div w:id="372969227">
              <w:marLeft w:val="0"/>
              <w:marRight w:val="0"/>
              <w:marTop w:val="0"/>
              <w:marBottom w:val="0"/>
              <w:divBdr>
                <w:top w:val="none" w:sz="0" w:space="0" w:color="auto"/>
                <w:left w:val="none" w:sz="0" w:space="0" w:color="auto"/>
                <w:bottom w:val="none" w:sz="0" w:space="0" w:color="auto"/>
                <w:right w:val="none" w:sz="0" w:space="0" w:color="auto"/>
              </w:divBdr>
            </w:div>
            <w:div w:id="2031445689">
              <w:marLeft w:val="0"/>
              <w:marRight w:val="0"/>
              <w:marTop w:val="0"/>
              <w:marBottom w:val="0"/>
              <w:divBdr>
                <w:top w:val="none" w:sz="0" w:space="0" w:color="auto"/>
                <w:left w:val="none" w:sz="0" w:space="0" w:color="auto"/>
                <w:bottom w:val="none" w:sz="0" w:space="0" w:color="auto"/>
                <w:right w:val="none" w:sz="0" w:space="0" w:color="auto"/>
              </w:divBdr>
            </w:div>
            <w:div w:id="236092370">
              <w:marLeft w:val="0"/>
              <w:marRight w:val="0"/>
              <w:marTop w:val="0"/>
              <w:marBottom w:val="0"/>
              <w:divBdr>
                <w:top w:val="none" w:sz="0" w:space="0" w:color="auto"/>
                <w:left w:val="none" w:sz="0" w:space="0" w:color="auto"/>
                <w:bottom w:val="none" w:sz="0" w:space="0" w:color="auto"/>
                <w:right w:val="none" w:sz="0" w:space="0" w:color="auto"/>
              </w:divBdr>
            </w:div>
            <w:div w:id="1449163466">
              <w:marLeft w:val="0"/>
              <w:marRight w:val="0"/>
              <w:marTop w:val="0"/>
              <w:marBottom w:val="0"/>
              <w:divBdr>
                <w:top w:val="none" w:sz="0" w:space="0" w:color="auto"/>
                <w:left w:val="none" w:sz="0" w:space="0" w:color="auto"/>
                <w:bottom w:val="none" w:sz="0" w:space="0" w:color="auto"/>
                <w:right w:val="none" w:sz="0" w:space="0" w:color="auto"/>
              </w:divBdr>
            </w:div>
            <w:div w:id="720246391">
              <w:marLeft w:val="0"/>
              <w:marRight w:val="0"/>
              <w:marTop w:val="0"/>
              <w:marBottom w:val="0"/>
              <w:divBdr>
                <w:top w:val="none" w:sz="0" w:space="0" w:color="auto"/>
                <w:left w:val="none" w:sz="0" w:space="0" w:color="auto"/>
                <w:bottom w:val="none" w:sz="0" w:space="0" w:color="auto"/>
                <w:right w:val="none" w:sz="0" w:space="0" w:color="auto"/>
              </w:divBdr>
            </w:div>
            <w:div w:id="1497960065">
              <w:marLeft w:val="0"/>
              <w:marRight w:val="0"/>
              <w:marTop w:val="0"/>
              <w:marBottom w:val="0"/>
              <w:divBdr>
                <w:top w:val="none" w:sz="0" w:space="0" w:color="auto"/>
                <w:left w:val="none" w:sz="0" w:space="0" w:color="auto"/>
                <w:bottom w:val="none" w:sz="0" w:space="0" w:color="auto"/>
                <w:right w:val="none" w:sz="0" w:space="0" w:color="auto"/>
              </w:divBdr>
            </w:div>
            <w:div w:id="1697122369">
              <w:marLeft w:val="0"/>
              <w:marRight w:val="0"/>
              <w:marTop w:val="0"/>
              <w:marBottom w:val="0"/>
              <w:divBdr>
                <w:top w:val="none" w:sz="0" w:space="0" w:color="auto"/>
                <w:left w:val="none" w:sz="0" w:space="0" w:color="auto"/>
                <w:bottom w:val="none" w:sz="0" w:space="0" w:color="auto"/>
                <w:right w:val="none" w:sz="0" w:space="0" w:color="auto"/>
              </w:divBdr>
            </w:div>
            <w:div w:id="544290190">
              <w:marLeft w:val="0"/>
              <w:marRight w:val="0"/>
              <w:marTop w:val="0"/>
              <w:marBottom w:val="0"/>
              <w:divBdr>
                <w:top w:val="none" w:sz="0" w:space="0" w:color="auto"/>
                <w:left w:val="none" w:sz="0" w:space="0" w:color="auto"/>
                <w:bottom w:val="none" w:sz="0" w:space="0" w:color="auto"/>
                <w:right w:val="none" w:sz="0" w:space="0" w:color="auto"/>
              </w:divBdr>
            </w:div>
            <w:div w:id="409929857">
              <w:marLeft w:val="0"/>
              <w:marRight w:val="0"/>
              <w:marTop w:val="0"/>
              <w:marBottom w:val="0"/>
              <w:divBdr>
                <w:top w:val="none" w:sz="0" w:space="0" w:color="auto"/>
                <w:left w:val="none" w:sz="0" w:space="0" w:color="auto"/>
                <w:bottom w:val="none" w:sz="0" w:space="0" w:color="auto"/>
                <w:right w:val="none" w:sz="0" w:space="0" w:color="auto"/>
              </w:divBdr>
            </w:div>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 w:id="2079281524">
          <w:marLeft w:val="0"/>
          <w:marRight w:val="0"/>
          <w:marTop w:val="0"/>
          <w:marBottom w:val="0"/>
          <w:divBdr>
            <w:top w:val="none" w:sz="0" w:space="0" w:color="auto"/>
            <w:left w:val="none" w:sz="0" w:space="0" w:color="auto"/>
            <w:bottom w:val="none" w:sz="0" w:space="0" w:color="auto"/>
            <w:right w:val="none" w:sz="0" w:space="0" w:color="auto"/>
          </w:divBdr>
          <w:divsChild>
            <w:div w:id="1481507126">
              <w:marLeft w:val="-75"/>
              <w:marRight w:val="0"/>
              <w:marTop w:val="30"/>
              <w:marBottom w:val="30"/>
              <w:divBdr>
                <w:top w:val="none" w:sz="0" w:space="0" w:color="auto"/>
                <w:left w:val="none" w:sz="0" w:space="0" w:color="auto"/>
                <w:bottom w:val="none" w:sz="0" w:space="0" w:color="auto"/>
                <w:right w:val="none" w:sz="0" w:space="0" w:color="auto"/>
              </w:divBdr>
              <w:divsChild>
                <w:div w:id="1355838216">
                  <w:marLeft w:val="0"/>
                  <w:marRight w:val="0"/>
                  <w:marTop w:val="0"/>
                  <w:marBottom w:val="0"/>
                  <w:divBdr>
                    <w:top w:val="none" w:sz="0" w:space="0" w:color="auto"/>
                    <w:left w:val="none" w:sz="0" w:space="0" w:color="auto"/>
                    <w:bottom w:val="none" w:sz="0" w:space="0" w:color="auto"/>
                    <w:right w:val="none" w:sz="0" w:space="0" w:color="auto"/>
                  </w:divBdr>
                  <w:divsChild>
                    <w:div w:id="1580752484">
                      <w:marLeft w:val="0"/>
                      <w:marRight w:val="0"/>
                      <w:marTop w:val="0"/>
                      <w:marBottom w:val="0"/>
                      <w:divBdr>
                        <w:top w:val="none" w:sz="0" w:space="0" w:color="auto"/>
                        <w:left w:val="none" w:sz="0" w:space="0" w:color="auto"/>
                        <w:bottom w:val="none" w:sz="0" w:space="0" w:color="auto"/>
                        <w:right w:val="none" w:sz="0" w:space="0" w:color="auto"/>
                      </w:divBdr>
                    </w:div>
                  </w:divsChild>
                </w:div>
                <w:div w:id="1626428053">
                  <w:marLeft w:val="0"/>
                  <w:marRight w:val="0"/>
                  <w:marTop w:val="0"/>
                  <w:marBottom w:val="0"/>
                  <w:divBdr>
                    <w:top w:val="none" w:sz="0" w:space="0" w:color="auto"/>
                    <w:left w:val="none" w:sz="0" w:space="0" w:color="auto"/>
                    <w:bottom w:val="none" w:sz="0" w:space="0" w:color="auto"/>
                    <w:right w:val="none" w:sz="0" w:space="0" w:color="auto"/>
                  </w:divBdr>
                  <w:divsChild>
                    <w:div w:id="436946668">
                      <w:marLeft w:val="0"/>
                      <w:marRight w:val="0"/>
                      <w:marTop w:val="0"/>
                      <w:marBottom w:val="0"/>
                      <w:divBdr>
                        <w:top w:val="none" w:sz="0" w:space="0" w:color="auto"/>
                        <w:left w:val="none" w:sz="0" w:space="0" w:color="auto"/>
                        <w:bottom w:val="none" w:sz="0" w:space="0" w:color="auto"/>
                        <w:right w:val="none" w:sz="0" w:space="0" w:color="auto"/>
                      </w:divBdr>
                    </w:div>
                  </w:divsChild>
                </w:div>
                <w:div w:id="1215430945">
                  <w:marLeft w:val="0"/>
                  <w:marRight w:val="0"/>
                  <w:marTop w:val="0"/>
                  <w:marBottom w:val="0"/>
                  <w:divBdr>
                    <w:top w:val="none" w:sz="0" w:space="0" w:color="auto"/>
                    <w:left w:val="none" w:sz="0" w:space="0" w:color="auto"/>
                    <w:bottom w:val="none" w:sz="0" w:space="0" w:color="auto"/>
                    <w:right w:val="none" w:sz="0" w:space="0" w:color="auto"/>
                  </w:divBdr>
                  <w:divsChild>
                    <w:div w:id="1099787750">
                      <w:marLeft w:val="0"/>
                      <w:marRight w:val="0"/>
                      <w:marTop w:val="0"/>
                      <w:marBottom w:val="0"/>
                      <w:divBdr>
                        <w:top w:val="none" w:sz="0" w:space="0" w:color="auto"/>
                        <w:left w:val="none" w:sz="0" w:space="0" w:color="auto"/>
                        <w:bottom w:val="none" w:sz="0" w:space="0" w:color="auto"/>
                        <w:right w:val="none" w:sz="0" w:space="0" w:color="auto"/>
                      </w:divBdr>
                    </w:div>
                  </w:divsChild>
                </w:div>
                <w:div w:id="1412433541">
                  <w:marLeft w:val="0"/>
                  <w:marRight w:val="0"/>
                  <w:marTop w:val="0"/>
                  <w:marBottom w:val="0"/>
                  <w:divBdr>
                    <w:top w:val="none" w:sz="0" w:space="0" w:color="auto"/>
                    <w:left w:val="none" w:sz="0" w:space="0" w:color="auto"/>
                    <w:bottom w:val="none" w:sz="0" w:space="0" w:color="auto"/>
                    <w:right w:val="none" w:sz="0" w:space="0" w:color="auto"/>
                  </w:divBdr>
                  <w:divsChild>
                    <w:div w:id="1383560756">
                      <w:marLeft w:val="0"/>
                      <w:marRight w:val="0"/>
                      <w:marTop w:val="0"/>
                      <w:marBottom w:val="0"/>
                      <w:divBdr>
                        <w:top w:val="none" w:sz="0" w:space="0" w:color="auto"/>
                        <w:left w:val="none" w:sz="0" w:space="0" w:color="auto"/>
                        <w:bottom w:val="none" w:sz="0" w:space="0" w:color="auto"/>
                        <w:right w:val="none" w:sz="0" w:space="0" w:color="auto"/>
                      </w:divBdr>
                    </w:div>
                  </w:divsChild>
                </w:div>
                <w:div w:id="1991978805">
                  <w:marLeft w:val="0"/>
                  <w:marRight w:val="0"/>
                  <w:marTop w:val="0"/>
                  <w:marBottom w:val="0"/>
                  <w:divBdr>
                    <w:top w:val="none" w:sz="0" w:space="0" w:color="auto"/>
                    <w:left w:val="none" w:sz="0" w:space="0" w:color="auto"/>
                    <w:bottom w:val="none" w:sz="0" w:space="0" w:color="auto"/>
                    <w:right w:val="none" w:sz="0" w:space="0" w:color="auto"/>
                  </w:divBdr>
                  <w:divsChild>
                    <w:div w:id="618532768">
                      <w:marLeft w:val="0"/>
                      <w:marRight w:val="0"/>
                      <w:marTop w:val="0"/>
                      <w:marBottom w:val="0"/>
                      <w:divBdr>
                        <w:top w:val="none" w:sz="0" w:space="0" w:color="auto"/>
                        <w:left w:val="none" w:sz="0" w:space="0" w:color="auto"/>
                        <w:bottom w:val="none" w:sz="0" w:space="0" w:color="auto"/>
                        <w:right w:val="none" w:sz="0" w:space="0" w:color="auto"/>
                      </w:divBdr>
                    </w:div>
                  </w:divsChild>
                </w:div>
                <w:div w:id="1480225110">
                  <w:marLeft w:val="0"/>
                  <w:marRight w:val="0"/>
                  <w:marTop w:val="0"/>
                  <w:marBottom w:val="0"/>
                  <w:divBdr>
                    <w:top w:val="none" w:sz="0" w:space="0" w:color="auto"/>
                    <w:left w:val="none" w:sz="0" w:space="0" w:color="auto"/>
                    <w:bottom w:val="none" w:sz="0" w:space="0" w:color="auto"/>
                    <w:right w:val="none" w:sz="0" w:space="0" w:color="auto"/>
                  </w:divBdr>
                  <w:divsChild>
                    <w:div w:id="758991616">
                      <w:marLeft w:val="0"/>
                      <w:marRight w:val="0"/>
                      <w:marTop w:val="0"/>
                      <w:marBottom w:val="0"/>
                      <w:divBdr>
                        <w:top w:val="none" w:sz="0" w:space="0" w:color="auto"/>
                        <w:left w:val="none" w:sz="0" w:space="0" w:color="auto"/>
                        <w:bottom w:val="none" w:sz="0" w:space="0" w:color="auto"/>
                        <w:right w:val="none" w:sz="0" w:space="0" w:color="auto"/>
                      </w:divBdr>
                    </w:div>
                  </w:divsChild>
                </w:div>
                <w:div w:id="1901553642">
                  <w:marLeft w:val="0"/>
                  <w:marRight w:val="0"/>
                  <w:marTop w:val="0"/>
                  <w:marBottom w:val="0"/>
                  <w:divBdr>
                    <w:top w:val="none" w:sz="0" w:space="0" w:color="auto"/>
                    <w:left w:val="none" w:sz="0" w:space="0" w:color="auto"/>
                    <w:bottom w:val="none" w:sz="0" w:space="0" w:color="auto"/>
                    <w:right w:val="none" w:sz="0" w:space="0" w:color="auto"/>
                  </w:divBdr>
                  <w:divsChild>
                    <w:div w:id="587424478">
                      <w:marLeft w:val="0"/>
                      <w:marRight w:val="0"/>
                      <w:marTop w:val="0"/>
                      <w:marBottom w:val="0"/>
                      <w:divBdr>
                        <w:top w:val="none" w:sz="0" w:space="0" w:color="auto"/>
                        <w:left w:val="none" w:sz="0" w:space="0" w:color="auto"/>
                        <w:bottom w:val="none" w:sz="0" w:space="0" w:color="auto"/>
                        <w:right w:val="none" w:sz="0" w:space="0" w:color="auto"/>
                      </w:divBdr>
                    </w:div>
                  </w:divsChild>
                </w:div>
                <w:div w:id="1563172375">
                  <w:marLeft w:val="0"/>
                  <w:marRight w:val="0"/>
                  <w:marTop w:val="0"/>
                  <w:marBottom w:val="0"/>
                  <w:divBdr>
                    <w:top w:val="none" w:sz="0" w:space="0" w:color="auto"/>
                    <w:left w:val="none" w:sz="0" w:space="0" w:color="auto"/>
                    <w:bottom w:val="none" w:sz="0" w:space="0" w:color="auto"/>
                    <w:right w:val="none" w:sz="0" w:space="0" w:color="auto"/>
                  </w:divBdr>
                  <w:divsChild>
                    <w:div w:id="822284215">
                      <w:marLeft w:val="0"/>
                      <w:marRight w:val="0"/>
                      <w:marTop w:val="0"/>
                      <w:marBottom w:val="0"/>
                      <w:divBdr>
                        <w:top w:val="none" w:sz="0" w:space="0" w:color="auto"/>
                        <w:left w:val="none" w:sz="0" w:space="0" w:color="auto"/>
                        <w:bottom w:val="none" w:sz="0" w:space="0" w:color="auto"/>
                        <w:right w:val="none" w:sz="0" w:space="0" w:color="auto"/>
                      </w:divBdr>
                    </w:div>
                  </w:divsChild>
                </w:div>
                <w:div w:id="1761021821">
                  <w:marLeft w:val="0"/>
                  <w:marRight w:val="0"/>
                  <w:marTop w:val="0"/>
                  <w:marBottom w:val="0"/>
                  <w:divBdr>
                    <w:top w:val="none" w:sz="0" w:space="0" w:color="auto"/>
                    <w:left w:val="none" w:sz="0" w:space="0" w:color="auto"/>
                    <w:bottom w:val="none" w:sz="0" w:space="0" w:color="auto"/>
                    <w:right w:val="none" w:sz="0" w:space="0" w:color="auto"/>
                  </w:divBdr>
                  <w:divsChild>
                    <w:div w:id="1879199232">
                      <w:marLeft w:val="0"/>
                      <w:marRight w:val="0"/>
                      <w:marTop w:val="0"/>
                      <w:marBottom w:val="0"/>
                      <w:divBdr>
                        <w:top w:val="none" w:sz="0" w:space="0" w:color="auto"/>
                        <w:left w:val="none" w:sz="0" w:space="0" w:color="auto"/>
                        <w:bottom w:val="none" w:sz="0" w:space="0" w:color="auto"/>
                        <w:right w:val="none" w:sz="0" w:space="0" w:color="auto"/>
                      </w:divBdr>
                    </w:div>
                  </w:divsChild>
                </w:div>
                <w:div w:id="658265661">
                  <w:marLeft w:val="0"/>
                  <w:marRight w:val="0"/>
                  <w:marTop w:val="0"/>
                  <w:marBottom w:val="0"/>
                  <w:divBdr>
                    <w:top w:val="none" w:sz="0" w:space="0" w:color="auto"/>
                    <w:left w:val="none" w:sz="0" w:space="0" w:color="auto"/>
                    <w:bottom w:val="none" w:sz="0" w:space="0" w:color="auto"/>
                    <w:right w:val="none" w:sz="0" w:space="0" w:color="auto"/>
                  </w:divBdr>
                  <w:divsChild>
                    <w:div w:id="1291473807">
                      <w:marLeft w:val="0"/>
                      <w:marRight w:val="0"/>
                      <w:marTop w:val="0"/>
                      <w:marBottom w:val="0"/>
                      <w:divBdr>
                        <w:top w:val="none" w:sz="0" w:space="0" w:color="auto"/>
                        <w:left w:val="none" w:sz="0" w:space="0" w:color="auto"/>
                        <w:bottom w:val="none" w:sz="0" w:space="0" w:color="auto"/>
                        <w:right w:val="none" w:sz="0" w:space="0" w:color="auto"/>
                      </w:divBdr>
                    </w:div>
                  </w:divsChild>
                </w:div>
                <w:div w:id="49378777">
                  <w:marLeft w:val="0"/>
                  <w:marRight w:val="0"/>
                  <w:marTop w:val="0"/>
                  <w:marBottom w:val="0"/>
                  <w:divBdr>
                    <w:top w:val="none" w:sz="0" w:space="0" w:color="auto"/>
                    <w:left w:val="none" w:sz="0" w:space="0" w:color="auto"/>
                    <w:bottom w:val="none" w:sz="0" w:space="0" w:color="auto"/>
                    <w:right w:val="none" w:sz="0" w:space="0" w:color="auto"/>
                  </w:divBdr>
                  <w:divsChild>
                    <w:div w:id="2048483718">
                      <w:marLeft w:val="0"/>
                      <w:marRight w:val="0"/>
                      <w:marTop w:val="0"/>
                      <w:marBottom w:val="0"/>
                      <w:divBdr>
                        <w:top w:val="none" w:sz="0" w:space="0" w:color="auto"/>
                        <w:left w:val="none" w:sz="0" w:space="0" w:color="auto"/>
                        <w:bottom w:val="none" w:sz="0" w:space="0" w:color="auto"/>
                        <w:right w:val="none" w:sz="0" w:space="0" w:color="auto"/>
                      </w:divBdr>
                    </w:div>
                  </w:divsChild>
                </w:div>
                <w:div w:id="52774228">
                  <w:marLeft w:val="0"/>
                  <w:marRight w:val="0"/>
                  <w:marTop w:val="0"/>
                  <w:marBottom w:val="0"/>
                  <w:divBdr>
                    <w:top w:val="none" w:sz="0" w:space="0" w:color="auto"/>
                    <w:left w:val="none" w:sz="0" w:space="0" w:color="auto"/>
                    <w:bottom w:val="none" w:sz="0" w:space="0" w:color="auto"/>
                    <w:right w:val="none" w:sz="0" w:space="0" w:color="auto"/>
                  </w:divBdr>
                  <w:divsChild>
                    <w:div w:id="524290262">
                      <w:marLeft w:val="0"/>
                      <w:marRight w:val="0"/>
                      <w:marTop w:val="0"/>
                      <w:marBottom w:val="0"/>
                      <w:divBdr>
                        <w:top w:val="none" w:sz="0" w:space="0" w:color="auto"/>
                        <w:left w:val="none" w:sz="0" w:space="0" w:color="auto"/>
                        <w:bottom w:val="none" w:sz="0" w:space="0" w:color="auto"/>
                        <w:right w:val="none" w:sz="0" w:space="0" w:color="auto"/>
                      </w:divBdr>
                    </w:div>
                  </w:divsChild>
                </w:div>
                <w:div w:id="691612909">
                  <w:marLeft w:val="0"/>
                  <w:marRight w:val="0"/>
                  <w:marTop w:val="0"/>
                  <w:marBottom w:val="0"/>
                  <w:divBdr>
                    <w:top w:val="none" w:sz="0" w:space="0" w:color="auto"/>
                    <w:left w:val="none" w:sz="0" w:space="0" w:color="auto"/>
                    <w:bottom w:val="none" w:sz="0" w:space="0" w:color="auto"/>
                    <w:right w:val="none" w:sz="0" w:space="0" w:color="auto"/>
                  </w:divBdr>
                  <w:divsChild>
                    <w:div w:id="1394885808">
                      <w:marLeft w:val="0"/>
                      <w:marRight w:val="0"/>
                      <w:marTop w:val="0"/>
                      <w:marBottom w:val="0"/>
                      <w:divBdr>
                        <w:top w:val="none" w:sz="0" w:space="0" w:color="auto"/>
                        <w:left w:val="none" w:sz="0" w:space="0" w:color="auto"/>
                        <w:bottom w:val="none" w:sz="0" w:space="0" w:color="auto"/>
                        <w:right w:val="none" w:sz="0" w:space="0" w:color="auto"/>
                      </w:divBdr>
                    </w:div>
                  </w:divsChild>
                </w:div>
                <w:div w:id="2019307983">
                  <w:marLeft w:val="0"/>
                  <w:marRight w:val="0"/>
                  <w:marTop w:val="0"/>
                  <w:marBottom w:val="0"/>
                  <w:divBdr>
                    <w:top w:val="none" w:sz="0" w:space="0" w:color="auto"/>
                    <w:left w:val="none" w:sz="0" w:space="0" w:color="auto"/>
                    <w:bottom w:val="none" w:sz="0" w:space="0" w:color="auto"/>
                    <w:right w:val="none" w:sz="0" w:space="0" w:color="auto"/>
                  </w:divBdr>
                  <w:divsChild>
                    <w:div w:id="65960278">
                      <w:marLeft w:val="0"/>
                      <w:marRight w:val="0"/>
                      <w:marTop w:val="0"/>
                      <w:marBottom w:val="0"/>
                      <w:divBdr>
                        <w:top w:val="none" w:sz="0" w:space="0" w:color="auto"/>
                        <w:left w:val="none" w:sz="0" w:space="0" w:color="auto"/>
                        <w:bottom w:val="none" w:sz="0" w:space="0" w:color="auto"/>
                        <w:right w:val="none" w:sz="0" w:space="0" w:color="auto"/>
                      </w:divBdr>
                    </w:div>
                  </w:divsChild>
                </w:div>
                <w:div w:id="714963938">
                  <w:marLeft w:val="0"/>
                  <w:marRight w:val="0"/>
                  <w:marTop w:val="0"/>
                  <w:marBottom w:val="0"/>
                  <w:divBdr>
                    <w:top w:val="none" w:sz="0" w:space="0" w:color="auto"/>
                    <w:left w:val="none" w:sz="0" w:space="0" w:color="auto"/>
                    <w:bottom w:val="none" w:sz="0" w:space="0" w:color="auto"/>
                    <w:right w:val="none" w:sz="0" w:space="0" w:color="auto"/>
                  </w:divBdr>
                  <w:divsChild>
                    <w:div w:id="1734809462">
                      <w:marLeft w:val="0"/>
                      <w:marRight w:val="0"/>
                      <w:marTop w:val="0"/>
                      <w:marBottom w:val="0"/>
                      <w:divBdr>
                        <w:top w:val="none" w:sz="0" w:space="0" w:color="auto"/>
                        <w:left w:val="none" w:sz="0" w:space="0" w:color="auto"/>
                        <w:bottom w:val="none" w:sz="0" w:space="0" w:color="auto"/>
                        <w:right w:val="none" w:sz="0" w:space="0" w:color="auto"/>
                      </w:divBdr>
                    </w:div>
                  </w:divsChild>
                </w:div>
                <w:div w:id="1459034539">
                  <w:marLeft w:val="0"/>
                  <w:marRight w:val="0"/>
                  <w:marTop w:val="0"/>
                  <w:marBottom w:val="0"/>
                  <w:divBdr>
                    <w:top w:val="none" w:sz="0" w:space="0" w:color="auto"/>
                    <w:left w:val="none" w:sz="0" w:space="0" w:color="auto"/>
                    <w:bottom w:val="none" w:sz="0" w:space="0" w:color="auto"/>
                    <w:right w:val="none" w:sz="0" w:space="0" w:color="auto"/>
                  </w:divBdr>
                  <w:divsChild>
                    <w:div w:id="700083994">
                      <w:marLeft w:val="0"/>
                      <w:marRight w:val="0"/>
                      <w:marTop w:val="0"/>
                      <w:marBottom w:val="0"/>
                      <w:divBdr>
                        <w:top w:val="none" w:sz="0" w:space="0" w:color="auto"/>
                        <w:left w:val="none" w:sz="0" w:space="0" w:color="auto"/>
                        <w:bottom w:val="none" w:sz="0" w:space="0" w:color="auto"/>
                        <w:right w:val="none" w:sz="0" w:space="0" w:color="auto"/>
                      </w:divBdr>
                    </w:div>
                  </w:divsChild>
                </w:div>
                <w:div w:id="1063329727">
                  <w:marLeft w:val="0"/>
                  <w:marRight w:val="0"/>
                  <w:marTop w:val="0"/>
                  <w:marBottom w:val="0"/>
                  <w:divBdr>
                    <w:top w:val="none" w:sz="0" w:space="0" w:color="auto"/>
                    <w:left w:val="none" w:sz="0" w:space="0" w:color="auto"/>
                    <w:bottom w:val="none" w:sz="0" w:space="0" w:color="auto"/>
                    <w:right w:val="none" w:sz="0" w:space="0" w:color="auto"/>
                  </w:divBdr>
                  <w:divsChild>
                    <w:div w:id="1386642312">
                      <w:marLeft w:val="0"/>
                      <w:marRight w:val="0"/>
                      <w:marTop w:val="0"/>
                      <w:marBottom w:val="0"/>
                      <w:divBdr>
                        <w:top w:val="none" w:sz="0" w:space="0" w:color="auto"/>
                        <w:left w:val="none" w:sz="0" w:space="0" w:color="auto"/>
                        <w:bottom w:val="none" w:sz="0" w:space="0" w:color="auto"/>
                        <w:right w:val="none" w:sz="0" w:space="0" w:color="auto"/>
                      </w:divBdr>
                    </w:div>
                  </w:divsChild>
                </w:div>
                <w:div w:id="1591235786">
                  <w:marLeft w:val="0"/>
                  <w:marRight w:val="0"/>
                  <w:marTop w:val="0"/>
                  <w:marBottom w:val="0"/>
                  <w:divBdr>
                    <w:top w:val="none" w:sz="0" w:space="0" w:color="auto"/>
                    <w:left w:val="none" w:sz="0" w:space="0" w:color="auto"/>
                    <w:bottom w:val="none" w:sz="0" w:space="0" w:color="auto"/>
                    <w:right w:val="none" w:sz="0" w:space="0" w:color="auto"/>
                  </w:divBdr>
                  <w:divsChild>
                    <w:div w:id="1661343905">
                      <w:marLeft w:val="0"/>
                      <w:marRight w:val="0"/>
                      <w:marTop w:val="0"/>
                      <w:marBottom w:val="0"/>
                      <w:divBdr>
                        <w:top w:val="none" w:sz="0" w:space="0" w:color="auto"/>
                        <w:left w:val="none" w:sz="0" w:space="0" w:color="auto"/>
                        <w:bottom w:val="none" w:sz="0" w:space="0" w:color="auto"/>
                        <w:right w:val="none" w:sz="0" w:space="0" w:color="auto"/>
                      </w:divBdr>
                    </w:div>
                  </w:divsChild>
                </w:div>
                <w:div w:id="1954820514">
                  <w:marLeft w:val="0"/>
                  <w:marRight w:val="0"/>
                  <w:marTop w:val="0"/>
                  <w:marBottom w:val="0"/>
                  <w:divBdr>
                    <w:top w:val="none" w:sz="0" w:space="0" w:color="auto"/>
                    <w:left w:val="none" w:sz="0" w:space="0" w:color="auto"/>
                    <w:bottom w:val="none" w:sz="0" w:space="0" w:color="auto"/>
                    <w:right w:val="none" w:sz="0" w:space="0" w:color="auto"/>
                  </w:divBdr>
                  <w:divsChild>
                    <w:div w:id="1951623355">
                      <w:marLeft w:val="0"/>
                      <w:marRight w:val="0"/>
                      <w:marTop w:val="0"/>
                      <w:marBottom w:val="0"/>
                      <w:divBdr>
                        <w:top w:val="none" w:sz="0" w:space="0" w:color="auto"/>
                        <w:left w:val="none" w:sz="0" w:space="0" w:color="auto"/>
                        <w:bottom w:val="none" w:sz="0" w:space="0" w:color="auto"/>
                        <w:right w:val="none" w:sz="0" w:space="0" w:color="auto"/>
                      </w:divBdr>
                    </w:div>
                  </w:divsChild>
                </w:div>
                <w:div w:id="42601712">
                  <w:marLeft w:val="0"/>
                  <w:marRight w:val="0"/>
                  <w:marTop w:val="0"/>
                  <w:marBottom w:val="0"/>
                  <w:divBdr>
                    <w:top w:val="none" w:sz="0" w:space="0" w:color="auto"/>
                    <w:left w:val="none" w:sz="0" w:space="0" w:color="auto"/>
                    <w:bottom w:val="none" w:sz="0" w:space="0" w:color="auto"/>
                    <w:right w:val="none" w:sz="0" w:space="0" w:color="auto"/>
                  </w:divBdr>
                  <w:divsChild>
                    <w:div w:id="662513957">
                      <w:marLeft w:val="0"/>
                      <w:marRight w:val="0"/>
                      <w:marTop w:val="0"/>
                      <w:marBottom w:val="0"/>
                      <w:divBdr>
                        <w:top w:val="none" w:sz="0" w:space="0" w:color="auto"/>
                        <w:left w:val="none" w:sz="0" w:space="0" w:color="auto"/>
                        <w:bottom w:val="none" w:sz="0" w:space="0" w:color="auto"/>
                        <w:right w:val="none" w:sz="0" w:space="0" w:color="auto"/>
                      </w:divBdr>
                    </w:div>
                  </w:divsChild>
                </w:div>
                <w:div w:id="1443453180">
                  <w:marLeft w:val="0"/>
                  <w:marRight w:val="0"/>
                  <w:marTop w:val="0"/>
                  <w:marBottom w:val="0"/>
                  <w:divBdr>
                    <w:top w:val="none" w:sz="0" w:space="0" w:color="auto"/>
                    <w:left w:val="none" w:sz="0" w:space="0" w:color="auto"/>
                    <w:bottom w:val="none" w:sz="0" w:space="0" w:color="auto"/>
                    <w:right w:val="none" w:sz="0" w:space="0" w:color="auto"/>
                  </w:divBdr>
                  <w:divsChild>
                    <w:div w:id="1788503153">
                      <w:marLeft w:val="0"/>
                      <w:marRight w:val="0"/>
                      <w:marTop w:val="0"/>
                      <w:marBottom w:val="0"/>
                      <w:divBdr>
                        <w:top w:val="none" w:sz="0" w:space="0" w:color="auto"/>
                        <w:left w:val="none" w:sz="0" w:space="0" w:color="auto"/>
                        <w:bottom w:val="none" w:sz="0" w:space="0" w:color="auto"/>
                        <w:right w:val="none" w:sz="0" w:space="0" w:color="auto"/>
                      </w:divBdr>
                    </w:div>
                  </w:divsChild>
                </w:div>
                <w:div w:id="42212997">
                  <w:marLeft w:val="0"/>
                  <w:marRight w:val="0"/>
                  <w:marTop w:val="0"/>
                  <w:marBottom w:val="0"/>
                  <w:divBdr>
                    <w:top w:val="none" w:sz="0" w:space="0" w:color="auto"/>
                    <w:left w:val="none" w:sz="0" w:space="0" w:color="auto"/>
                    <w:bottom w:val="none" w:sz="0" w:space="0" w:color="auto"/>
                    <w:right w:val="none" w:sz="0" w:space="0" w:color="auto"/>
                  </w:divBdr>
                  <w:divsChild>
                    <w:div w:id="1406949883">
                      <w:marLeft w:val="0"/>
                      <w:marRight w:val="0"/>
                      <w:marTop w:val="0"/>
                      <w:marBottom w:val="0"/>
                      <w:divBdr>
                        <w:top w:val="none" w:sz="0" w:space="0" w:color="auto"/>
                        <w:left w:val="none" w:sz="0" w:space="0" w:color="auto"/>
                        <w:bottom w:val="none" w:sz="0" w:space="0" w:color="auto"/>
                        <w:right w:val="none" w:sz="0" w:space="0" w:color="auto"/>
                      </w:divBdr>
                    </w:div>
                  </w:divsChild>
                </w:div>
                <w:div w:id="10422694">
                  <w:marLeft w:val="0"/>
                  <w:marRight w:val="0"/>
                  <w:marTop w:val="0"/>
                  <w:marBottom w:val="0"/>
                  <w:divBdr>
                    <w:top w:val="none" w:sz="0" w:space="0" w:color="auto"/>
                    <w:left w:val="none" w:sz="0" w:space="0" w:color="auto"/>
                    <w:bottom w:val="none" w:sz="0" w:space="0" w:color="auto"/>
                    <w:right w:val="none" w:sz="0" w:space="0" w:color="auto"/>
                  </w:divBdr>
                  <w:divsChild>
                    <w:div w:id="1901090939">
                      <w:marLeft w:val="0"/>
                      <w:marRight w:val="0"/>
                      <w:marTop w:val="0"/>
                      <w:marBottom w:val="0"/>
                      <w:divBdr>
                        <w:top w:val="none" w:sz="0" w:space="0" w:color="auto"/>
                        <w:left w:val="none" w:sz="0" w:space="0" w:color="auto"/>
                        <w:bottom w:val="none" w:sz="0" w:space="0" w:color="auto"/>
                        <w:right w:val="none" w:sz="0" w:space="0" w:color="auto"/>
                      </w:divBdr>
                    </w:div>
                  </w:divsChild>
                </w:div>
                <w:div w:id="1728336791">
                  <w:marLeft w:val="0"/>
                  <w:marRight w:val="0"/>
                  <w:marTop w:val="0"/>
                  <w:marBottom w:val="0"/>
                  <w:divBdr>
                    <w:top w:val="none" w:sz="0" w:space="0" w:color="auto"/>
                    <w:left w:val="none" w:sz="0" w:space="0" w:color="auto"/>
                    <w:bottom w:val="none" w:sz="0" w:space="0" w:color="auto"/>
                    <w:right w:val="none" w:sz="0" w:space="0" w:color="auto"/>
                  </w:divBdr>
                  <w:divsChild>
                    <w:div w:id="638342499">
                      <w:marLeft w:val="0"/>
                      <w:marRight w:val="0"/>
                      <w:marTop w:val="0"/>
                      <w:marBottom w:val="0"/>
                      <w:divBdr>
                        <w:top w:val="none" w:sz="0" w:space="0" w:color="auto"/>
                        <w:left w:val="none" w:sz="0" w:space="0" w:color="auto"/>
                        <w:bottom w:val="none" w:sz="0" w:space="0" w:color="auto"/>
                        <w:right w:val="none" w:sz="0" w:space="0" w:color="auto"/>
                      </w:divBdr>
                    </w:div>
                  </w:divsChild>
                </w:div>
                <w:div w:id="1271399284">
                  <w:marLeft w:val="0"/>
                  <w:marRight w:val="0"/>
                  <w:marTop w:val="0"/>
                  <w:marBottom w:val="0"/>
                  <w:divBdr>
                    <w:top w:val="none" w:sz="0" w:space="0" w:color="auto"/>
                    <w:left w:val="none" w:sz="0" w:space="0" w:color="auto"/>
                    <w:bottom w:val="none" w:sz="0" w:space="0" w:color="auto"/>
                    <w:right w:val="none" w:sz="0" w:space="0" w:color="auto"/>
                  </w:divBdr>
                  <w:divsChild>
                    <w:div w:id="1582979924">
                      <w:marLeft w:val="0"/>
                      <w:marRight w:val="0"/>
                      <w:marTop w:val="0"/>
                      <w:marBottom w:val="0"/>
                      <w:divBdr>
                        <w:top w:val="none" w:sz="0" w:space="0" w:color="auto"/>
                        <w:left w:val="none" w:sz="0" w:space="0" w:color="auto"/>
                        <w:bottom w:val="none" w:sz="0" w:space="0" w:color="auto"/>
                        <w:right w:val="none" w:sz="0" w:space="0" w:color="auto"/>
                      </w:divBdr>
                    </w:div>
                  </w:divsChild>
                </w:div>
                <w:div w:id="696472445">
                  <w:marLeft w:val="0"/>
                  <w:marRight w:val="0"/>
                  <w:marTop w:val="0"/>
                  <w:marBottom w:val="0"/>
                  <w:divBdr>
                    <w:top w:val="none" w:sz="0" w:space="0" w:color="auto"/>
                    <w:left w:val="none" w:sz="0" w:space="0" w:color="auto"/>
                    <w:bottom w:val="none" w:sz="0" w:space="0" w:color="auto"/>
                    <w:right w:val="none" w:sz="0" w:space="0" w:color="auto"/>
                  </w:divBdr>
                  <w:divsChild>
                    <w:div w:id="2059628586">
                      <w:marLeft w:val="0"/>
                      <w:marRight w:val="0"/>
                      <w:marTop w:val="0"/>
                      <w:marBottom w:val="0"/>
                      <w:divBdr>
                        <w:top w:val="none" w:sz="0" w:space="0" w:color="auto"/>
                        <w:left w:val="none" w:sz="0" w:space="0" w:color="auto"/>
                        <w:bottom w:val="none" w:sz="0" w:space="0" w:color="auto"/>
                        <w:right w:val="none" w:sz="0" w:space="0" w:color="auto"/>
                      </w:divBdr>
                    </w:div>
                  </w:divsChild>
                </w:div>
                <w:div w:id="1811901772">
                  <w:marLeft w:val="0"/>
                  <w:marRight w:val="0"/>
                  <w:marTop w:val="0"/>
                  <w:marBottom w:val="0"/>
                  <w:divBdr>
                    <w:top w:val="none" w:sz="0" w:space="0" w:color="auto"/>
                    <w:left w:val="none" w:sz="0" w:space="0" w:color="auto"/>
                    <w:bottom w:val="none" w:sz="0" w:space="0" w:color="auto"/>
                    <w:right w:val="none" w:sz="0" w:space="0" w:color="auto"/>
                  </w:divBdr>
                  <w:divsChild>
                    <w:div w:id="2026011432">
                      <w:marLeft w:val="0"/>
                      <w:marRight w:val="0"/>
                      <w:marTop w:val="0"/>
                      <w:marBottom w:val="0"/>
                      <w:divBdr>
                        <w:top w:val="none" w:sz="0" w:space="0" w:color="auto"/>
                        <w:left w:val="none" w:sz="0" w:space="0" w:color="auto"/>
                        <w:bottom w:val="none" w:sz="0" w:space="0" w:color="auto"/>
                        <w:right w:val="none" w:sz="0" w:space="0" w:color="auto"/>
                      </w:divBdr>
                    </w:div>
                  </w:divsChild>
                </w:div>
                <w:div w:id="411051525">
                  <w:marLeft w:val="0"/>
                  <w:marRight w:val="0"/>
                  <w:marTop w:val="0"/>
                  <w:marBottom w:val="0"/>
                  <w:divBdr>
                    <w:top w:val="none" w:sz="0" w:space="0" w:color="auto"/>
                    <w:left w:val="none" w:sz="0" w:space="0" w:color="auto"/>
                    <w:bottom w:val="none" w:sz="0" w:space="0" w:color="auto"/>
                    <w:right w:val="none" w:sz="0" w:space="0" w:color="auto"/>
                  </w:divBdr>
                  <w:divsChild>
                    <w:div w:id="566065348">
                      <w:marLeft w:val="0"/>
                      <w:marRight w:val="0"/>
                      <w:marTop w:val="0"/>
                      <w:marBottom w:val="0"/>
                      <w:divBdr>
                        <w:top w:val="none" w:sz="0" w:space="0" w:color="auto"/>
                        <w:left w:val="none" w:sz="0" w:space="0" w:color="auto"/>
                        <w:bottom w:val="none" w:sz="0" w:space="0" w:color="auto"/>
                        <w:right w:val="none" w:sz="0" w:space="0" w:color="auto"/>
                      </w:divBdr>
                    </w:div>
                  </w:divsChild>
                </w:div>
                <w:div w:id="102918680">
                  <w:marLeft w:val="0"/>
                  <w:marRight w:val="0"/>
                  <w:marTop w:val="0"/>
                  <w:marBottom w:val="0"/>
                  <w:divBdr>
                    <w:top w:val="none" w:sz="0" w:space="0" w:color="auto"/>
                    <w:left w:val="none" w:sz="0" w:space="0" w:color="auto"/>
                    <w:bottom w:val="none" w:sz="0" w:space="0" w:color="auto"/>
                    <w:right w:val="none" w:sz="0" w:space="0" w:color="auto"/>
                  </w:divBdr>
                  <w:divsChild>
                    <w:div w:id="351348595">
                      <w:marLeft w:val="0"/>
                      <w:marRight w:val="0"/>
                      <w:marTop w:val="0"/>
                      <w:marBottom w:val="0"/>
                      <w:divBdr>
                        <w:top w:val="none" w:sz="0" w:space="0" w:color="auto"/>
                        <w:left w:val="none" w:sz="0" w:space="0" w:color="auto"/>
                        <w:bottom w:val="none" w:sz="0" w:space="0" w:color="auto"/>
                        <w:right w:val="none" w:sz="0" w:space="0" w:color="auto"/>
                      </w:divBdr>
                    </w:div>
                  </w:divsChild>
                </w:div>
                <w:div w:id="977490065">
                  <w:marLeft w:val="0"/>
                  <w:marRight w:val="0"/>
                  <w:marTop w:val="0"/>
                  <w:marBottom w:val="0"/>
                  <w:divBdr>
                    <w:top w:val="none" w:sz="0" w:space="0" w:color="auto"/>
                    <w:left w:val="none" w:sz="0" w:space="0" w:color="auto"/>
                    <w:bottom w:val="none" w:sz="0" w:space="0" w:color="auto"/>
                    <w:right w:val="none" w:sz="0" w:space="0" w:color="auto"/>
                  </w:divBdr>
                  <w:divsChild>
                    <w:div w:id="934247721">
                      <w:marLeft w:val="0"/>
                      <w:marRight w:val="0"/>
                      <w:marTop w:val="0"/>
                      <w:marBottom w:val="0"/>
                      <w:divBdr>
                        <w:top w:val="none" w:sz="0" w:space="0" w:color="auto"/>
                        <w:left w:val="none" w:sz="0" w:space="0" w:color="auto"/>
                        <w:bottom w:val="none" w:sz="0" w:space="0" w:color="auto"/>
                        <w:right w:val="none" w:sz="0" w:space="0" w:color="auto"/>
                      </w:divBdr>
                    </w:div>
                  </w:divsChild>
                </w:div>
                <w:div w:id="1293827200">
                  <w:marLeft w:val="0"/>
                  <w:marRight w:val="0"/>
                  <w:marTop w:val="0"/>
                  <w:marBottom w:val="0"/>
                  <w:divBdr>
                    <w:top w:val="none" w:sz="0" w:space="0" w:color="auto"/>
                    <w:left w:val="none" w:sz="0" w:space="0" w:color="auto"/>
                    <w:bottom w:val="none" w:sz="0" w:space="0" w:color="auto"/>
                    <w:right w:val="none" w:sz="0" w:space="0" w:color="auto"/>
                  </w:divBdr>
                  <w:divsChild>
                    <w:div w:id="2039963173">
                      <w:marLeft w:val="0"/>
                      <w:marRight w:val="0"/>
                      <w:marTop w:val="0"/>
                      <w:marBottom w:val="0"/>
                      <w:divBdr>
                        <w:top w:val="none" w:sz="0" w:space="0" w:color="auto"/>
                        <w:left w:val="none" w:sz="0" w:space="0" w:color="auto"/>
                        <w:bottom w:val="none" w:sz="0" w:space="0" w:color="auto"/>
                        <w:right w:val="none" w:sz="0" w:space="0" w:color="auto"/>
                      </w:divBdr>
                    </w:div>
                  </w:divsChild>
                </w:div>
                <w:div w:id="1705206025">
                  <w:marLeft w:val="0"/>
                  <w:marRight w:val="0"/>
                  <w:marTop w:val="0"/>
                  <w:marBottom w:val="0"/>
                  <w:divBdr>
                    <w:top w:val="none" w:sz="0" w:space="0" w:color="auto"/>
                    <w:left w:val="none" w:sz="0" w:space="0" w:color="auto"/>
                    <w:bottom w:val="none" w:sz="0" w:space="0" w:color="auto"/>
                    <w:right w:val="none" w:sz="0" w:space="0" w:color="auto"/>
                  </w:divBdr>
                  <w:divsChild>
                    <w:div w:id="576598406">
                      <w:marLeft w:val="0"/>
                      <w:marRight w:val="0"/>
                      <w:marTop w:val="0"/>
                      <w:marBottom w:val="0"/>
                      <w:divBdr>
                        <w:top w:val="none" w:sz="0" w:space="0" w:color="auto"/>
                        <w:left w:val="none" w:sz="0" w:space="0" w:color="auto"/>
                        <w:bottom w:val="none" w:sz="0" w:space="0" w:color="auto"/>
                        <w:right w:val="none" w:sz="0" w:space="0" w:color="auto"/>
                      </w:divBdr>
                    </w:div>
                  </w:divsChild>
                </w:div>
                <w:div w:id="147331783">
                  <w:marLeft w:val="0"/>
                  <w:marRight w:val="0"/>
                  <w:marTop w:val="0"/>
                  <w:marBottom w:val="0"/>
                  <w:divBdr>
                    <w:top w:val="none" w:sz="0" w:space="0" w:color="auto"/>
                    <w:left w:val="none" w:sz="0" w:space="0" w:color="auto"/>
                    <w:bottom w:val="none" w:sz="0" w:space="0" w:color="auto"/>
                    <w:right w:val="none" w:sz="0" w:space="0" w:color="auto"/>
                  </w:divBdr>
                  <w:divsChild>
                    <w:div w:id="929044942">
                      <w:marLeft w:val="0"/>
                      <w:marRight w:val="0"/>
                      <w:marTop w:val="0"/>
                      <w:marBottom w:val="0"/>
                      <w:divBdr>
                        <w:top w:val="none" w:sz="0" w:space="0" w:color="auto"/>
                        <w:left w:val="none" w:sz="0" w:space="0" w:color="auto"/>
                        <w:bottom w:val="none" w:sz="0" w:space="0" w:color="auto"/>
                        <w:right w:val="none" w:sz="0" w:space="0" w:color="auto"/>
                      </w:divBdr>
                    </w:div>
                  </w:divsChild>
                </w:div>
                <w:div w:id="2103911135">
                  <w:marLeft w:val="0"/>
                  <w:marRight w:val="0"/>
                  <w:marTop w:val="0"/>
                  <w:marBottom w:val="0"/>
                  <w:divBdr>
                    <w:top w:val="none" w:sz="0" w:space="0" w:color="auto"/>
                    <w:left w:val="none" w:sz="0" w:space="0" w:color="auto"/>
                    <w:bottom w:val="none" w:sz="0" w:space="0" w:color="auto"/>
                    <w:right w:val="none" w:sz="0" w:space="0" w:color="auto"/>
                  </w:divBdr>
                  <w:divsChild>
                    <w:div w:id="1403717242">
                      <w:marLeft w:val="0"/>
                      <w:marRight w:val="0"/>
                      <w:marTop w:val="0"/>
                      <w:marBottom w:val="0"/>
                      <w:divBdr>
                        <w:top w:val="none" w:sz="0" w:space="0" w:color="auto"/>
                        <w:left w:val="none" w:sz="0" w:space="0" w:color="auto"/>
                        <w:bottom w:val="none" w:sz="0" w:space="0" w:color="auto"/>
                        <w:right w:val="none" w:sz="0" w:space="0" w:color="auto"/>
                      </w:divBdr>
                    </w:div>
                  </w:divsChild>
                </w:div>
                <w:div w:id="1546939884">
                  <w:marLeft w:val="0"/>
                  <w:marRight w:val="0"/>
                  <w:marTop w:val="0"/>
                  <w:marBottom w:val="0"/>
                  <w:divBdr>
                    <w:top w:val="none" w:sz="0" w:space="0" w:color="auto"/>
                    <w:left w:val="none" w:sz="0" w:space="0" w:color="auto"/>
                    <w:bottom w:val="none" w:sz="0" w:space="0" w:color="auto"/>
                    <w:right w:val="none" w:sz="0" w:space="0" w:color="auto"/>
                  </w:divBdr>
                  <w:divsChild>
                    <w:div w:id="1623344946">
                      <w:marLeft w:val="0"/>
                      <w:marRight w:val="0"/>
                      <w:marTop w:val="0"/>
                      <w:marBottom w:val="0"/>
                      <w:divBdr>
                        <w:top w:val="none" w:sz="0" w:space="0" w:color="auto"/>
                        <w:left w:val="none" w:sz="0" w:space="0" w:color="auto"/>
                        <w:bottom w:val="none" w:sz="0" w:space="0" w:color="auto"/>
                        <w:right w:val="none" w:sz="0" w:space="0" w:color="auto"/>
                      </w:divBdr>
                    </w:div>
                  </w:divsChild>
                </w:div>
                <w:div w:id="2145611943">
                  <w:marLeft w:val="0"/>
                  <w:marRight w:val="0"/>
                  <w:marTop w:val="0"/>
                  <w:marBottom w:val="0"/>
                  <w:divBdr>
                    <w:top w:val="none" w:sz="0" w:space="0" w:color="auto"/>
                    <w:left w:val="none" w:sz="0" w:space="0" w:color="auto"/>
                    <w:bottom w:val="none" w:sz="0" w:space="0" w:color="auto"/>
                    <w:right w:val="none" w:sz="0" w:space="0" w:color="auto"/>
                  </w:divBdr>
                  <w:divsChild>
                    <w:div w:id="375855799">
                      <w:marLeft w:val="0"/>
                      <w:marRight w:val="0"/>
                      <w:marTop w:val="0"/>
                      <w:marBottom w:val="0"/>
                      <w:divBdr>
                        <w:top w:val="none" w:sz="0" w:space="0" w:color="auto"/>
                        <w:left w:val="none" w:sz="0" w:space="0" w:color="auto"/>
                        <w:bottom w:val="none" w:sz="0" w:space="0" w:color="auto"/>
                        <w:right w:val="none" w:sz="0" w:space="0" w:color="auto"/>
                      </w:divBdr>
                    </w:div>
                  </w:divsChild>
                </w:div>
                <w:div w:id="274213509">
                  <w:marLeft w:val="0"/>
                  <w:marRight w:val="0"/>
                  <w:marTop w:val="0"/>
                  <w:marBottom w:val="0"/>
                  <w:divBdr>
                    <w:top w:val="none" w:sz="0" w:space="0" w:color="auto"/>
                    <w:left w:val="none" w:sz="0" w:space="0" w:color="auto"/>
                    <w:bottom w:val="none" w:sz="0" w:space="0" w:color="auto"/>
                    <w:right w:val="none" w:sz="0" w:space="0" w:color="auto"/>
                  </w:divBdr>
                  <w:divsChild>
                    <w:div w:id="1350251554">
                      <w:marLeft w:val="0"/>
                      <w:marRight w:val="0"/>
                      <w:marTop w:val="0"/>
                      <w:marBottom w:val="0"/>
                      <w:divBdr>
                        <w:top w:val="none" w:sz="0" w:space="0" w:color="auto"/>
                        <w:left w:val="none" w:sz="0" w:space="0" w:color="auto"/>
                        <w:bottom w:val="none" w:sz="0" w:space="0" w:color="auto"/>
                        <w:right w:val="none" w:sz="0" w:space="0" w:color="auto"/>
                      </w:divBdr>
                    </w:div>
                  </w:divsChild>
                </w:div>
                <w:div w:id="2095272581">
                  <w:marLeft w:val="0"/>
                  <w:marRight w:val="0"/>
                  <w:marTop w:val="0"/>
                  <w:marBottom w:val="0"/>
                  <w:divBdr>
                    <w:top w:val="none" w:sz="0" w:space="0" w:color="auto"/>
                    <w:left w:val="none" w:sz="0" w:space="0" w:color="auto"/>
                    <w:bottom w:val="none" w:sz="0" w:space="0" w:color="auto"/>
                    <w:right w:val="none" w:sz="0" w:space="0" w:color="auto"/>
                  </w:divBdr>
                  <w:divsChild>
                    <w:div w:id="1369988743">
                      <w:marLeft w:val="0"/>
                      <w:marRight w:val="0"/>
                      <w:marTop w:val="0"/>
                      <w:marBottom w:val="0"/>
                      <w:divBdr>
                        <w:top w:val="none" w:sz="0" w:space="0" w:color="auto"/>
                        <w:left w:val="none" w:sz="0" w:space="0" w:color="auto"/>
                        <w:bottom w:val="none" w:sz="0" w:space="0" w:color="auto"/>
                        <w:right w:val="none" w:sz="0" w:space="0" w:color="auto"/>
                      </w:divBdr>
                    </w:div>
                  </w:divsChild>
                </w:div>
                <w:div w:id="571550019">
                  <w:marLeft w:val="0"/>
                  <w:marRight w:val="0"/>
                  <w:marTop w:val="0"/>
                  <w:marBottom w:val="0"/>
                  <w:divBdr>
                    <w:top w:val="none" w:sz="0" w:space="0" w:color="auto"/>
                    <w:left w:val="none" w:sz="0" w:space="0" w:color="auto"/>
                    <w:bottom w:val="none" w:sz="0" w:space="0" w:color="auto"/>
                    <w:right w:val="none" w:sz="0" w:space="0" w:color="auto"/>
                  </w:divBdr>
                  <w:divsChild>
                    <w:div w:id="1627732930">
                      <w:marLeft w:val="0"/>
                      <w:marRight w:val="0"/>
                      <w:marTop w:val="0"/>
                      <w:marBottom w:val="0"/>
                      <w:divBdr>
                        <w:top w:val="none" w:sz="0" w:space="0" w:color="auto"/>
                        <w:left w:val="none" w:sz="0" w:space="0" w:color="auto"/>
                        <w:bottom w:val="none" w:sz="0" w:space="0" w:color="auto"/>
                        <w:right w:val="none" w:sz="0" w:space="0" w:color="auto"/>
                      </w:divBdr>
                    </w:div>
                  </w:divsChild>
                </w:div>
                <w:div w:id="968124638">
                  <w:marLeft w:val="0"/>
                  <w:marRight w:val="0"/>
                  <w:marTop w:val="0"/>
                  <w:marBottom w:val="0"/>
                  <w:divBdr>
                    <w:top w:val="none" w:sz="0" w:space="0" w:color="auto"/>
                    <w:left w:val="none" w:sz="0" w:space="0" w:color="auto"/>
                    <w:bottom w:val="none" w:sz="0" w:space="0" w:color="auto"/>
                    <w:right w:val="none" w:sz="0" w:space="0" w:color="auto"/>
                  </w:divBdr>
                  <w:divsChild>
                    <w:div w:id="2064521940">
                      <w:marLeft w:val="0"/>
                      <w:marRight w:val="0"/>
                      <w:marTop w:val="0"/>
                      <w:marBottom w:val="0"/>
                      <w:divBdr>
                        <w:top w:val="none" w:sz="0" w:space="0" w:color="auto"/>
                        <w:left w:val="none" w:sz="0" w:space="0" w:color="auto"/>
                        <w:bottom w:val="none" w:sz="0" w:space="0" w:color="auto"/>
                        <w:right w:val="none" w:sz="0" w:space="0" w:color="auto"/>
                      </w:divBdr>
                    </w:div>
                  </w:divsChild>
                </w:div>
                <w:div w:id="20866553">
                  <w:marLeft w:val="0"/>
                  <w:marRight w:val="0"/>
                  <w:marTop w:val="0"/>
                  <w:marBottom w:val="0"/>
                  <w:divBdr>
                    <w:top w:val="none" w:sz="0" w:space="0" w:color="auto"/>
                    <w:left w:val="none" w:sz="0" w:space="0" w:color="auto"/>
                    <w:bottom w:val="none" w:sz="0" w:space="0" w:color="auto"/>
                    <w:right w:val="none" w:sz="0" w:space="0" w:color="auto"/>
                  </w:divBdr>
                  <w:divsChild>
                    <w:div w:id="1136947605">
                      <w:marLeft w:val="0"/>
                      <w:marRight w:val="0"/>
                      <w:marTop w:val="0"/>
                      <w:marBottom w:val="0"/>
                      <w:divBdr>
                        <w:top w:val="none" w:sz="0" w:space="0" w:color="auto"/>
                        <w:left w:val="none" w:sz="0" w:space="0" w:color="auto"/>
                        <w:bottom w:val="none" w:sz="0" w:space="0" w:color="auto"/>
                        <w:right w:val="none" w:sz="0" w:space="0" w:color="auto"/>
                      </w:divBdr>
                    </w:div>
                  </w:divsChild>
                </w:div>
                <w:div w:id="36129775">
                  <w:marLeft w:val="0"/>
                  <w:marRight w:val="0"/>
                  <w:marTop w:val="0"/>
                  <w:marBottom w:val="0"/>
                  <w:divBdr>
                    <w:top w:val="none" w:sz="0" w:space="0" w:color="auto"/>
                    <w:left w:val="none" w:sz="0" w:space="0" w:color="auto"/>
                    <w:bottom w:val="none" w:sz="0" w:space="0" w:color="auto"/>
                    <w:right w:val="none" w:sz="0" w:space="0" w:color="auto"/>
                  </w:divBdr>
                  <w:divsChild>
                    <w:div w:id="562299704">
                      <w:marLeft w:val="0"/>
                      <w:marRight w:val="0"/>
                      <w:marTop w:val="0"/>
                      <w:marBottom w:val="0"/>
                      <w:divBdr>
                        <w:top w:val="none" w:sz="0" w:space="0" w:color="auto"/>
                        <w:left w:val="none" w:sz="0" w:space="0" w:color="auto"/>
                        <w:bottom w:val="none" w:sz="0" w:space="0" w:color="auto"/>
                        <w:right w:val="none" w:sz="0" w:space="0" w:color="auto"/>
                      </w:divBdr>
                    </w:div>
                  </w:divsChild>
                </w:div>
                <w:div w:id="1271935806">
                  <w:marLeft w:val="0"/>
                  <w:marRight w:val="0"/>
                  <w:marTop w:val="0"/>
                  <w:marBottom w:val="0"/>
                  <w:divBdr>
                    <w:top w:val="none" w:sz="0" w:space="0" w:color="auto"/>
                    <w:left w:val="none" w:sz="0" w:space="0" w:color="auto"/>
                    <w:bottom w:val="none" w:sz="0" w:space="0" w:color="auto"/>
                    <w:right w:val="none" w:sz="0" w:space="0" w:color="auto"/>
                  </w:divBdr>
                  <w:divsChild>
                    <w:div w:id="1098138337">
                      <w:marLeft w:val="0"/>
                      <w:marRight w:val="0"/>
                      <w:marTop w:val="0"/>
                      <w:marBottom w:val="0"/>
                      <w:divBdr>
                        <w:top w:val="none" w:sz="0" w:space="0" w:color="auto"/>
                        <w:left w:val="none" w:sz="0" w:space="0" w:color="auto"/>
                        <w:bottom w:val="none" w:sz="0" w:space="0" w:color="auto"/>
                        <w:right w:val="none" w:sz="0" w:space="0" w:color="auto"/>
                      </w:divBdr>
                    </w:div>
                  </w:divsChild>
                </w:div>
                <w:div w:id="1318266028">
                  <w:marLeft w:val="0"/>
                  <w:marRight w:val="0"/>
                  <w:marTop w:val="0"/>
                  <w:marBottom w:val="0"/>
                  <w:divBdr>
                    <w:top w:val="none" w:sz="0" w:space="0" w:color="auto"/>
                    <w:left w:val="none" w:sz="0" w:space="0" w:color="auto"/>
                    <w:bottom w:val="none" w:sz="0" w:space="0" w:color="auto"/>
                    <w:right w:val="none" w:sz="0" w:space="0" w:color="auto"/>
                  </w:divBdr>
                  <w:divsChild>
                    <w:div w:id="1939825569">
                      <w:marLeft w:val="0"/>
                      <w:marRight w:val="0"/>
                      <w:marTop w:val="0"/>
                      <w:marBottom w:val="0"/>
                      <w:divBdr>
                        <w:top w:val="none" w:sz="0" w:space="0" w:color="auto"/>
                        <w:left w:val="none" w:sz="0" w:space="0" w:color="auto"/>
                        <w:bottom w:val="none" w:sz="0" w:space="0" w:color="auto"/>
                        <w:right w:val="none" w:sz="0" w:space="0" w:color="auto"/>
                      </w:divBdr>
                    </w:div>
                  </w:divsChild>
                </w:div>
                <w:div w:id="879784605">
                  <w:marLeft w:val="0"/>
                  <w:marRight w:val="0"/>
                  <w:marTop w:val="0"/>
                  <w:marBottom w:val="0"/>
                  <w:divBdr>
                    <w:top w:val="none" w:sz="0" w:space="0" w:color="auto"/>
                    <w:left w:val="none" w:sz="0" w:space="0" w:color="auto"/>
                    <w:bottom w:val="none" w:sz="0" w:space="0" w:color="auto"/>
                    <w:right w:val="none" w:sz="0" w:space="0" w:color="auto"/>
                  </w:divBdr>
                  <w:divsChild>
                    <w:div w:id="1749882349">
                      <w:marLeft w:val="0"/>
                      <w:marRight w:val="0"/>
                      <w:marTop w:val="0"/>
                      <w:marBottom w:val="0"/>
                      <w:divBdr>
                        <w:top w:val="none" w:sz="0" w:space="0" w:color="auto"/>
                        <w:left w:val="none" w:sz="0" w:space="0" w:color="auto"/>
                        <w:bottom w:val="none" w:sz="0" w:space="0" w:color="auto"/>
                        <w:right w:val="none" w:sz="0" w:space="0" w:color="auto"/>
                      </w:divBdr>
                    </w:div>
                  </w:divsChild>
                </w:div>
                <w:div w:id="1263758058">
                  <w:marLeft w:val="0"/>
                  <w:marRight w:val="0"/>
                  <w:marTop w:val="0"/>
                  <w:marBottom w:val="0"/>
                  <w:divBdr>
                    <w:top w:val="none" w:sz="0" w:space="0" w:color="auto"/>
                    <w:left w:val="none" w:sz="0" w:space="0" w:color="auto"/>
                    <w:bottom w:val="none" w:sz="0" w:space="0" w:color="auto"/>
                    <w:right w:val="none" w:sz="0" w:space="0" w:color="auto"/>
                  </w:divBdr>
                  <w:divsChild>
                    <w:div w:id="342973195">
                      <w:marLeft w:val="0"/>
                      <w:marRight w:val="0"/>
                      <w:marTop w:val="0"/>
                      <w:marBottom w:val="0"/>
                      <w:divBdr>
                        <w:top w:val="none" w:sz="0" w:space="0" w:color="auto"/>
                        <w:left w:val="none" w:sz="0" w:space="0" w:color="auto"/>
                        <w:bottom w:val="none" w:sz="0" w:space="0" w:color="auto"/>
                        <w:right w:val="none" w:sz="0" w:space="0" w:color="auto"/>
                      </w:divBdr>
                    </w:div>
                  </w:divsChild>
                </w:div>
                <w:div w:id="1852530806">
                  <w:marLeft w:val="0"/>
                  <w:marRight w:val="0"/>
                  <w:marTop w:val="0"/>
                  <w:marBottom w:val="0"/>
                  <w:divBdr>
                    <w:top w:val="none" w:sz="0" w:space="0" w:color="auto"/>
                    <w:left w:val="none" w:sz="0" w:space="0" w:color="auto"/>
                    <w:bottom w:val="none" w:sz="0" w:space="0" w:color="auto"/>
                    <w:right w:val="none" w:sz="0" w:space="0" w:color="auto"/>
                  </w:divBdr>
                  <w:divsChild>
                    <w:div w:id="1251812464">
                      <w:marLeft w:val="0"/>
                      <w:marRight w:val="0"/>
                      <w:marTop w:val="0"/>
                      <w:marBottom w:val="0"/>
                      <w:divBdr>
                        <w:top w:val="none" w:sz="0" w:space="0" w:color="auto"/>
                        <w:left w:val="none" w:sz="0" w:space="0" w:color="auto"/>
                        <w:bottom w:val="none" w:sz="0" w:space="0" w:color="auto"/>
                        <w:right w:val="none" w:sz="0" w:space="0" w:color="auto"/>
                      </w:divBdr>
                    </w:div>
                  </w:divsChild>
                </w:div>
                <w:div w:id="1003167273">
                  <w:marLeft w:val="0"/>
                  <w:marRight w:val="0"/>
                  <w:marTop w:val="0"/>
                  <w:marBottom w:val="0"/>
                  <w:divBdr>
                    <w:top w:val="none" w:sz="0" w:space="0" w:color="auto"/>
                    <w:left w:val="none" w:sz="0" w:space="0" w:color="auto"/>
                    <w:bottom w:val="none" w:sz="0" w:space="0" w:color="auto"/>
                    <w:right w:val="none" w:sz="0" w:space="0" w:color="auto"/>
                  </w:divBdr>
                  <w:divsChild>
                    <w:div w:id="567502049">
                      <w:marLeft w:val="0"/>
                      <w:marRight w:val="0"/>
                      <w:marTop w:val="0"/>
                      <w:marBottom w:val="0"/>
                      <w:divBdr>
                        <w:top w:val="none" w:sz="0" w:space="0" w:color="auto"/>
                        <w:left w:val="none" w:sz="0" w:space="0" w:color="auto"/>
                        <w:bottom w:val="none" w:sz="0" w:space="0" w:color="auto"/>
                        <w:right w:val="none" w:sz="0" w:space="0" w:color="auto"/>
                      </w:divBdr>
                    </w:div>
                  </w:divsChild>
                </w:div>
                <w:div w:id="1466194728">
                  <w:marLeft w:val="0"/>
                  <w:marRight w:val="0"/>
                  <w:marTop w:val="0"/>
                  <w:marBottom w:val="0"/>
                  <w:divBdr>
                    <w:top w:val="none" w:sz="0" w:space="0" w:color="auto"/>
                    <w:left w:val="none" w:sz="0" w:space="0" w:color="auto"/>
                    <w:bottom w:val="none" w:sz="0" w:space="0" w:color="auto"/>
                    <w:right w:val="none" w:sz="0" w:space="0" w:color="auto"/>
                  </w:divBdr>
                  <w:divsChild>
                    <w:div w:id="392121548">
                      <w:marLeft w:val="0"/>
                      <w:marRight w:val="0"/>
                      <w:marTop w:val="0"/>
                      <w:marBottom w:val="0"/>
                      <w:divBdr>
                        <w:top w:val="none" w:sz="0" w:space="0" w:color="auto"/>
                        <w:left w:val="none" w:sz="0" w:space="0" w:color="auto"/>
                        <w:bottom w:val="none" w:sz="0" w:space="0" w:color="auto"/>
                        <w:right w:val="none" w:sz="0" w:space="0" w:color="auto"/>
                      </w:divBdr>
                    </w:div>
                  </w:divsChild>
                </w:div>
                <w:div w:id="1836142199">
                  <w:marLeft w:val="0"/>
                  <w:marRight w:val="0"/>
                  <w:marTop w:val="0"/>
                  <w:marBottom w:val="0"/>
                  <w:divBdr>
                    <w:top w:val="none" w:sz="0" w:space="0" w:color="auto"/>
                    <w:left w:val="none" w:sz="0" w:space="0" w:color="auto"/>
                    <w:bottom w:val="none" w:sz="0" w:space="0" w:color="auto"/>
                    <w:right w:val="none" w:sz="0" w:space="0" w:color="auto"/>
                  </w:divBdr>
                  <w:divsChild>
                    <w:div w:id="666248100">
                      <w:marLeft w:val="0"/>
                      <w:marRight w:val="0"/>
                      <w:marTop w:val="0"/>
                      <w:marBottom w:val="0"/>
                      <w:divBdr>
                        <w:top w:val="none" w:sz="0" w:space="0" w:color="auto"/>
                        <w:left w:val="none" w:sz="0" w:space="0" w:color="auto"/>
                        <w:bottom w:val="none" w:sz="0" w:space="0" w:color="auto"/>
                        <w:right w:val="none" w:sz="0" w:space="0" w:color="auto"/>
                      </w:divBdr>
                    </w:div>
                  </w:divsChild>
                </w:div>
                <w:div w:id="601038496">
                  <w:marLeft w:val="0"/>
                  <w:marRight w:val="0"/>
                  <w:marTop w:val="0"/>
                  <w:marBottom w:val="0"/>
                  <w:divBdr>
                    <w:top w:val="none" w:sz="0" w:space="0" w:color="auto"/>
                    <w:left w:val="none" w:sz="0" w:space="0" w:color="auto"/>
                    <w:bottom w:val="none" w:sz="0" w:space="0" w:color="auto"/>
                    <w:right w:val="none" w:sz="0" w:space="0" w:color="auto"/>
                  </w:divBdr>
                  <w:divsChild>
                    <w:div w:id="1289316537">
                      <w:marLeft w:val="0"/>
                      <w:marRight w:val="0"/>
                      <w:marTop w:val="0"/>
                      <w:marBottom w:val="0"/>
                      <w:divBdr>
                        <w:top w:val="none" w:sz="0" w:space="0" w:color="auto"/>
                        <w:left w:val="none" w:sz="0" w:space="0" w:color="auto"/>
                        <w:bottom w:val="none" w:sz="0" w:space="0" w:color="auto"/>
                        <w:right w:val="none" w:sz="0" w:space="0" w:color="auto"/>
                      </w:divBdr>
                    </w:div>
                  </w:divsChild>
                </w:div>
                <w:div w:id="1994069083">
                  <w:marLeft w:val="0"/>
                  <w:marRight w:val="0"/>
                  <w:marTop w:val="0"/>
                  <w:marBottom w:val="0"/>
                  <w:divBdr>
                    <w:top w:val="none" w:sz="0" w:space="0" w:color="auto"/>
                    <w:left w:val="none" w:sz="0" w:space="0" w:color="auto"/>
                    <w:bottom w:val="none" w:sz="0" w:space="0" w:color="auto"/>
                    <w:right w:val="none" w:sz="0" w:space="0" w:color="auto"/>
                  </w:divBdr>
                  <w:divsChild>
                    <w:div w:id="2094736189">
                      <w:marLeft w:val="0"/>
                      <w:marRight w:val="0"/>
                      <w:marTop w:val="0"/>
                      <w:marBottom w:val="0"/>
                      <w:divBdr>
                        <w:top w:val="none" w:sz="0" w:space="0" w:color="auto"/>
                        <w:left w:val="none" w:sz="0" w:space="0" w:color="auto"/>
                        <w:bottom w:val="none" w:sz="0" w:space="0" w:color="auto"/>
                        <w:right w:val="none" w:sz="0" w:space="0" w:color="auto"/>
                      </w:divBdr>
                    </w:div>
                  </w:divsChild>
                </w:div>
                <w:div w:id="1672951858">
                  <w:marLeft w:val="0"/>
                  <w:marRight w:val="0"/>
                  <w:marTop w:val="0"/>
                  <w:marBottom w:val="0"/>
                  <w:divBdr>
                    <w:top w:val="none" w:sz="0" w:space="0" w:color="auto"/>
                    <w:left w:val="none" w:sz="0" w:space="0" w:color="auto"/>
                    <w:bottom w:val="none" w:sz="0" w:space="0" w:color="auto"/>
                    <w:right w:val="none" w:sz="0" w:space="0" w:color="auto"/>
                  </w:divBdr>
                  <w:divsChild>
                    <w:div w:id="1864779573">
                      <w:marLeft w:val="0"/>
                      <w:marRight w:val="0"/>
                      <w:marTop w:val="0"/>
                      <w:marBottom w:val="0"/>
                      <w:divBdr>
                        <w:top w:val="none" w:sz="0" w:space="0" w:color="auto"/>
                        <w:left w:val="none" w:sz="0" w:space="0" w:color="auto"/>
                        <w:bottom w:val="none" w:sz="0" w:space="0" w:color="auto"/>
                        <w:right w:val="none" w:sz="0" w:space="0" w:color="auto"/>
                      </w:divBdr>
                    </w:div>
                  </w:divsChild>
                </w:div>
                <w:div w:id="543642467">
                  <w:marLeft w:val="0"/>
                  <w:marRight w:val="0"/>
                  <w:marTop w:val="0"/>
                  <w:marBottom w:val="0"/>
                  <w:divBdr>
                    <w:top w:val="none" w:sz="0" w:space="0" w:color="auto"/>
                    <w:left w:val="none" w:sz="0" w:space="0" w:color="auto"/>
                    <w:bottom w:val="none" w:sz="0" w:space="0" w:color="auto"/>
                    <w:right w:val="none" w:sz="0" w:space="0" w:color="auto"/>
                  </w:divBdr>
                  <w:divsChild>
                    <w:div w:id="1597859041">
                      <w:marLeft w:val="0"/>
                      <w:marRight w:val="0"/>
                      <w:marTop w:val="0"/>
                      <w:marBottom w:val="0"/>
                      <w:divBdr>
                        <w:top w:val="none" w:sz="0" w:space="0" w:color="auto"/>
                        <w:left w:val="none" w:sz="0" w:space="0" w:color="auto"/>
                        <w:bottom w:val="none" w:sz="0" w:space="0" w:color="auto"/>
                        <w:right w:val="none" w:sz="0" w:space="0" w:color="auto"/>
                      </w:divBdr>
                    </w:div>
                  </w:divsChild>
                </w:div>
                <w:div w:id="1773698375">
                  <w:marLeft w:val="0"/>
                  <w:marRight w:val="0"/>
                  <w:marTop w:val="0"/>
                  <w:marBottom w:val="0"/>
                  <w:divBdr>
                    <w:top w:val="none" w:sz="0" w:space="0" w:color="auto"/>
                    <w:left w:val="none" w:sz="0" w:space="0" w:color="auto"/>
                    <w:bottom w:val="none" w:sz="0" w:space="0" w:color="auto"/>
                    <w:right w:val="none" w:sz="0" w:space="0" w:color="auto"/>
                  </w:divBdr>
                  <w:divsChild>
                    <w:div w:id="579407515">
                      <w:marLeft w:val="0"/>
                      <w:marRight w:val="0"/>
                      <w:marTop w:val="0"/>
                      <w:marBottom w:val="0"/>
                      <w:divBdr>
                        <w:top w:val="none" w:sz="0" w:space="0" w:color="auto"/>
                        <w:left w:val="none" w:sz="0" w:space="0" w:color="auto"/>
                        <w:bottom w:val="none" w:sz="0" w:space="0" w:color="auto"/>
                        <w:right w:val="none" w:sz="0" w:space="0" w:color="auto"/>
                      </w:divBdr>
                    </w:div>
                  </w:divsChild>
                </w:div>
                <w:div w:id="129523308">
                  <w:marLeft w:val="0"/>
                  <w:marRight w:val="0"/>
                  <w:marTop w:val="0"/>
                  <w:marBottom w:val="0"/>
                  <w:divBdr>
                    <w:top w:val="none" w:sz="0" w:space="0" w:color="auto"/>
                    <w:left w:val="none" w:sz="0" w:space="0" w:color="auto"/>
                    <w:bottom w:val="none" w:sz="0" w:space="0" w:color="auto"/>
                    <w:right w:val="none" w:sz="0" w:space="0" w:color="auto"/>
                  </w:divBdr>
                  <w:divsChild>
                    <w:div w:id="1070037758">
                      <w:marLeft w:val="0"/>
                      <w:marRight w:val="0"/>
                      <w:marTop w:val="0"/>
                      <w:marBottom w:val="0"/>
                      <w:divBdr>
                        <w:top w:val="none" w:sz="0" w:space="0" w:color="auto"/>
                        <w:left w:val="none" w:sz="0" w:space="0" w:color="auto"/>
                        <w:bottom w:val="none" w:sz="0" w:space="0" w:color="auto"/>
                        <w:right w:val="none" w:sz="0" w:space="0" w:color="auto"/>
                      </w:divBdr>
                    </w:div>
                  </w:divsChild>
                </w:div>
                <w:div w:id="2107770420">
                  <w:marLeft w:val="0"/>
                  <w:marRight w:val="0"/>
                  <w:marTop w:val="0"/>
                  <w:marBottom w:val="0"/>
                  <w:divBdr>
                    <w:top w:val="none" w:sz="0" w:space="0" w:color="auto"/>
                    <w:left w:val="none" w:sz="0" w:space="0" w:color="auto"/>
                    <w:bottom w:val="none" w:sz="0" w:space="0" w:color="auto"/>
                    <w:right w:val="none" w:sz="0" w:space="0" w:color="auto"/>
                  </w:divBdr>
                  <w:divsChild>
                    <w:div w:id="1836141937">
                      <w:marLeft w:val="0"/>
                      <w:marRight w:val="0"/>
                      <w:marTop w:val="0"/>
                      <w:marBottom w:val="0"/>
                      <w:divBdr>
                        <w:top w:val="none" w:sz="0" w:space="0" w:color="auto"/>
                        <w:left w:val="none" w:sz="0" w:space="0" w:color="auto"/>
                        <w:bottom w:val="none" w:sz="0" w:space="0" w:color="auto"/>
                        <w:right w:val="none" w:sz="0" w:space="0" w:color="auto"/>
                      </w:divBdr>
                    </w:div>
                  </w:divsChild>
                </w:div>
                <w:div w:id="1530291920">
                  <w:marLeft w:val="0"/>
                  <w:marRight w:val="0"/>
                  <w:marTop w:val="0"/>
                  <w:marBottom w:val="0"/>
                  <w:divBdr>
                    <w:top w:val="none" w:sz="0" w:space="0" w:color="auto"/>
                    <w:left w:val="none" w:sz="0" w:space="0" w:color="auto"/>
                    <w:bottom w:val="none" w:sz="0" w:space="0" w:color="auto"/>
                    <w:right w:val="none" w:sz="0" w:space="0" w:color="auto"/>
                  </w:divBdr>
                  <w:divsChild>
                    <w:div w:id="69624314">
                      <w:marLeft w:val="0"/>
                      <w:marRight w:val="0"/>
                      <w:marTop w:val="0"/>
                      <w:marBottom w:val="0"/>
                      <w:divBdr>
                        <w:top w:val="none" w:sz="0" w:space="0" w:color="auto"/>
                        <w:left w:val="none" w:sz="0" w:space="0" w:color="auto"/>
                        <w:bottom w:val="none" w:sz="0" w:space="0" w:color="auto"/>
                        <w:right w:val="none" w:sz="0" w:space="0" w:color="auto"/>
                      </w:divBdr>
                    </w:div>
                  </w:divsChild>
                </w:div>
                <w:div w:id="1978417286">
                  <w:marLeft w:val="0"/>
                  <w:marRight w:val="0"/>
                  <w:marTop w:val="0"/>
                  <w:marBottom w:val="0"/>
                  <w:divBdr>
                    <w:top w:val="none" w:sz="0" w:space="0" w:color="auto"/>
                    <w:left w:val="none" w:sz="0" w:space="0" w:color="auto"/>
                    <w:bottom w:val="none" w:sz="0" w:space="0" w:color="auto"/>
                    <w:right w:val="none" w:sz="0" w:space="0" w:color="auto"/>
                  </w:divBdr>
                  <w:divsChild>
                    <w:div w:id="1594895182">
                      <w:marLeft w:val="0"/>
                      <w:marRight w:val="0"/>
                      <w:marTop w:val="0"/>
                      <w:marBottom w:val="0"/>
                      <w:divBdr>
                        <w:top w:val="none" w:sz="0" w:space="0" w:color="auto"/>
                        <w:left w:val="none" w:sz="0" w:space="0" w:color="auto"/>
                        <w:bottom w:val="none" w:sz="0" w:space="0" w:color="auto"/>
                        <w:right w:val="none" w:sz="0" w:space="0" w:color="auto"/>
                      </w:divBdr>
                    </w:div>
                  </w:divsChild>
                </w:div>
                <w:div w:id="1611938326">
                  <w:marLeft w:val="0"/>
                  <w:marRight w:val="0"/>
                  <w:marTop w:val="0"/>
                  <w:marBottom w:val="0"/>
                  <w:divBdr>
                    <w:top w:val="none" w:sz="0" w:space="0" w:color="auto"/>
                    <w:left w:val="none" w:sz="0" w:space="0" w:color="auto"/>
                    <w:bottom w:val="none" w:sz="0" w:space="0" w:color="auto"/>
                    <w:right w:val="none" w:sz="0" w:space="0" w:color="auto"/>
                  </w:divBdr>
                  <w:divsChild>
                    <w:div w:id="1756130534">
                      <w:marLeft w:val="0"/>
                      <w:marRight w:val="0"/>
                      <w:marTop w:val="0"/>
                      <w:marBottom w:val="0"/>
                      <w:divBdr>
                        <w:top w:val="none" w:sz="0" w:space="0" w:color="auto"/>
                        <w:left w:val="none" w:sz="0" w:space="0" w:color="auto"/>
                        <w:bottom w:val="none" w:sz="0" w:space="0" w:color="auto"/>
                        <w:right w:val="none" w:sz="0" w:space="0" w:color="auto"/>
                      </w:divBdr>
                    </w:div>
                  </w:divsChild>
                </w:div>
                <w:div w:id="65880348">
                  <w:marLeft w:val="0"/>
                  <w:marRight w:val="0"/>
                  <w:marTop w:val="0"/>
                  <w:marBottom w:val="0"/>
                  <w:divBdr>
                    <w:top w:val="none" w:sz="0" w:space="0" w:color="auto"/>
                    <w:left w:val="none" w:sz="0" w:space="0" w:color="auto"/>
                    <w:bottom w:val="none" w:sz="0" w:space="0" w:color="auto"/>
                    <w:right w:val="none" w:sz="0" w:space="0" w:color="auto"/>
                  </w:divBdr>
                  <w:divsChild>
                    <w:div w:id="2106000297">
                      <w:marLeft w:val="0"/>
                      <w:marRight w:val="0"/>
                      <w:marTop w:val="0"/>
                      <w:marBottom w:val="0"/>
                      <w:divBdr>
                        <w:top w:val="none" w:sz="0" w:space="0" w:color="auto"/>
                        <w:left w:val="none" w:sz="0" w:space="0" w:color="auto"/>
                        <w:bottom w:val="none" w:sz="0" w:space="0" w:color="auto"/>
                        <w:right w:val="none" w:sz="0" w:space="0" w:color="auto"/>
                      </w:divBdr>
                    </w:div>
                  </w:divsChild>
                </w:div>
                <w:div w:id="134808850">
                  <w:marLeft w:val="0"/>
                  <w:marRight w:val="0"/>
                  <w:marTop w:val="0"/>
                  <w:marBottom w:val="0"/>
                  <w:divBdr>
                    <w:top w:val="none" w:sz="0" w:space="0" w:color="auto"/>
                    <w:left w:val="none" w:sz="0" w:space="0" w:color="auto"/>
                    <w:bottom w:val="none" w:sz="0" w:space="0" w:color="auto"/>
                    <w:right w:val="none" w:sz="0" w:space="0" w:color="auto"/>
                  </w:divBdr>
                  <w:divsChild>
                    <w:div w:id="1802576942">
                      <w:marLeft w:val="0"/>
                      <w:marRight w:val="0"/>
                      <w:marTop w:val="0"/>
                      <w:marBottom w:val="0"/>
                      <w:divBdr>
                        <w:top w:val="none" w:sz="0" w:space="0" w:color="auto"/>
                        <w:left w:val="none" w:sz="0" w:space="0" w:color="auto"/>
                        <w:bottom w:val="none" w:sz="0" w:space="0" w:color="auto"/>
                        <w:right w:val="none" w:sz="0" w:space="0" w:color="auto"/>
                      </w:divBdr>
                    </w:div>
                  </w:divsChild>
                </w:div>
                <w:div w:id="2012484120">
                  <w:marLeft w:val="0"/>
                  <w:marRight w:val="0"/>
                  <w:marTop w:val="0"/>
                  <w:marBottom w:val="0"/>
                  <w:divBdr>
                    <w:top w:val="none" w:sz="0" w:space="0" w:color="auto"/>
                    <w:left w:val="none" w:sz="0" w:space="0" w:color="auto"/>
                    <w:bottom w:val="none" w:sz="0" w:space="0" w:color="auto"/>
                    <w:right w:val="none" w:sz="0" w:space="0" w:color="auto"/>
                  </w:divBdr>
                  <w:divsChild>
                    <w:div w:id="9642663">
                      <w:marLeft w:val="0"/>
                      <w:marRight w:val="0"/>
                      <w:marTop w:val="0"/>
                      <w:marBottom w:val="0"/>
                      <w:divBdr>
                        <w:top w:val="none" w:sz="0" w:space="0" w:color="auto"/>
                        <w:left w:val="none" w:sz="0" w:space="0" w:color="auto"/>
                        <w:bottom w:val="none" w:sz="0" w:space="0" w:color="auto"/>
                        <w:right w:val="none" w:sz="0" w:space="0" w:color="auto"/>
                      </w:divBdr>
                    </w:div>
                  </w:divsChild>
                </w:div>
                <w:div w:id="17659641">
                  <w:marLeft w:val="0"/>
                  <w:marRight w:val="0"/>
                  <w:marTop w:val="0"/>
                  <w:marBottom w:val="0"/>
                  <w:divBdr>
                    <w:top w:val="none" w:sz="0" w:space="0" w:color="auto"/>
                    <w:left w:val="none" w:sz="0" w:space="0" w:color="auto"/>
                    <w:bottom w:val="none" w:sz="0" w:space="0" w:color="auto"/>
                    <w:right w:val="none" w:sz="0" w:space="0" w:color="auto"/>
                  </w:divBdr>
                  <w:divsChild>
                    <w:div w:id="1077828474">
                      <w:marLeft w:val="0"/>
                      <w:marRight w:val="0"/>
                      <w:marTop w:val="0"/>
                      <w:marBottom w:val="0"/>
                      <w:divBdr>
                        <w:top w:val="none" w:sz="0" w:space="0" w:color="auto"/>
                        <w:left w:val="none" w:sz="0" w:space="0" w:color="auto"/>
                        <w:bottom w:val="none" w:sz="0" w:space="0" w:color="auto"/>
                        <w:right w:val="none" w:sz="0" w:space="0" w:color="auto"/>
                      </w:divBdr>
                    </w:div>
                  </w:divsChild>
                </w:div>
                <w:div w:id="43868230">
                  <w:marLeft w:val="0"/>
                  <w:marRight w:val="0"/>
                  <w:marTop w:val="0"/>
                  <w:marBottom w:val="0"/>
                  <w:divBdr>
                    <w:top w:val="none" w:sz="0" w:space="0" w:color="auto"/>
                    <w:left w:val="none" w:sz="0" w:space="0" w:color="auto"/>
                    <w:bottom w:val="none" w:sz="0" w:space="0" w:color="auto"/>
                    <w:right w:val="none" w:sz="0" w:space="0" w:color="auto"/>
                  </w:divBdr>
                  <w:divsChild>
                    <w:div w:id="1409303740">
                      <w:marLeft w:val="0"/>
                      <w:marRight w:val="0"/>
                      <w:marTop w:val="0"/>
                      <w:marBottom w:val="0"/>
                      <w:divBdr>
                        <w:top w:val="none" w:sz="0" w:space="0" w:color="auto"/>
                        <w:left w:val="none" w:sz="0" w:space="0" w:color="auto"/>
                        <w:bottom w:val="none" w:sz="0" w:space="0" w:color="auto"/>
                        <w:right w:val="none" w:sz="0" w:space="0" w:color="auto"/>
                      </w:divBdr>
                    </w:div>
                  </w:divsChild>
                </w:div>
                <w:div w:id="326326671">
                  <w:marLeft w:val="0"/>
                  <w:marRight w:val="0"/>
                  <w:marTop w:val="0"/>
                  <w:marBottom w:val="0"/>
                  <w:divBdr>
                    <w:top w:val="none" w:sz="0" w:space="0" w:color="auto"/>
                    <w:left w:val="none" w:sz="0" w:space="0" w:color="auto"/>
                    <w:bottom w:val="none" w:sz="0" w:space="0" w:color="auto"/>
                    <w:right w:val="none" w:sz="0" w:space="0" w:color="auto"/>
                  </w:divBdr>
                  <w:divsChild>
                    <w:div w:id="1395307">
                      <w:marLeft w:val="0"/>
                      <w:marRight w:val="0"/>
                      <w:marTop w:val="0"/>
                      <w:marBottom w:val="0"/>
                      <w:divBdr>
                        <w:top w:val="none" w:sz="0" w:space="0" w:color="auto"/>
                        <w:left w:val="none" w:sz="0" w:space="0" w:color="auto"/>
                        <w:bottom w:val="none" w:sz="0" w:space="0" w:color="auto"/>
                        <w:right w:val="none" w:sz="0" w:space="0" w:color="auto"/>
                      </w:divBdr>
                    </w:div>
                  </w:divsChild>
                </w:div>
                <w:div w:id="592468746">
                  <w:marLeft w:val="0"/>
                  <w:marRight w:val="0"/>
                  <w:marTop w:val="0"/>
                  <w:marBottom w:val="0"/>
                  <w:divBdr>
                    <w:top w:val="none" w:sz="0" w:space="0" w:color="auto"/>
                    <w:left w:val="none" w:sz="0" w:space="0" w:color="auto"/>
                    <w:bottom w:val="none" w:sz="0" w:space="0" w:color="auto"/>
                    <w:right w:val="none" w:sz="0" w:space="0" w:color="auto"/>
                  </w:divBdr>
                  <w:divsChild>
                    <w:div w:id="1607079408">
                      <w:marLeft w:val="0"/>
                      <w:marRight w:val="0"/>
                      <w:marTop w:val="0"/>
                      <w:marBottom w:val="0"/>
                      <w:divBdr>
                        <w:top w:val="none" w:sz="0" w:space="0" w:color="auto"/>
                        <w:left w:val="none" w:sz="0" w:space="0" w:color="auto"/>
                        <w:bottom w:val="none" w:sz="0" w:space="0" w:color="auto"/>
                        <w:right w:val="none" w:sz="0" w:space="0" w:color="auto"/>
                      </w:divBdr>
                    </w:div>
                  </w:divsChild>
                </w:div>
                <w:div w:id="1839734733">
                  <w:marLeft w:val="0"/>
                  <w:marRight w:val="0"/>
                  <w:marTop w:val="0"/>
                  <w:marBottom w:val="0"/>
                  <w:divBdr>
                    <w:top w:val="none" w:sz="0" w:space="0" w:color="auto"/>
                    <w:left w:val="none" w:sz="0" w:space="0" w:color="auto"/>
                    <w:bottom w:val="none" w:sz="0" w:space="0" w:color="auto"/>
                    <w:right w:val="none" w:sz="0" w:space="0" w:color="auto"/>
                  </w:divBdr>
                  <w:divsChild>
                    <w:div w:id="994836516">
                      <w:marLeft w:val="0"/>
                      <w:marRight w:val="0"/>
                      <w:marTop w:val="0"/>
                      <w:marBottom w:val="0"/>
                      <w:divBdr>
                        <w:top w:val="none" w:sz="0" w:space="0" w:color="auto"/>
                        <w:left w:val="none" w:sz="0" w:space="0" w:color="auto"/>
                        <w:bottom w:val="none" w:sz="0" w:space="0" w:color="auto"/>
                        <w:right w:val="none" w:sz="0" w:space="0" w:color="auto"/>
                      </w:divBdr>
                    </w:div>
                  </w:divsChild>
                </w:div>
                <w:div w:id="895972382">
                  <w:marLeft w:val="0"/>
                  <w:marRight w:val="0"/>
                  <w:marTop w:val="0"/>
                  <w:marBottom w:val="0"/>
                  <w:divBdr>
                    <w:top w:val="none" w:sz="0" w:space="0" w:color="auto"/>
                    <w:left w:val="none" w:sz="0" w:space="0" w:color="auto"/>
                    <w:bottom w:val="none" w:sz="0" w:space="0" w:color="auto"/>
                    <w:right w:val="none" w:sz="0" w:space="0" w:color="auto"/>
                  </w:divBdr>
                  <w:divsChild>
                    <w:div w:id="392658767">
                      <w:marLeft w:val="0"/>
                      <w:marRight w:val="0"/>
                      <w:marTop w:val="0"/>
                      <w:marBottom w:val="0"/>
                      <w:divBdr>
                        <w:top w:val="none" w:sz="0" w:space="0" w:color="auto"/>
                        <w:left w:val="none" w:sz="0" w:space="0" w:color="auto"/>
                        <w:bottom w:val="none" w:sz="0" w:space="0" w:color="auto"/>
                        <w:right w:val="none" w:sz="0" w:space="0" w:color="auto"/>
                      </w:divBdr>
                    </w:div>
                  </w:divsChild>
                </w:div>
                <w:div w:id="757409893">
                  <w:marLeft w:val="0"/>
                  <w:marRight w:val="0"/>
                  <w:marTop w:val="0"/>
                  <w:marBottom w:val="0"/>
                  <w:divBdr>
                    <w:top w:val="none" w:sz="0" w:space="0" w:color="auto"/>
                    <w:left w:val="none" w:sz="0" w:space="0" w:color="auto"/>
                    <w:bottom w:val="none" w:sz="0" w:space="0" w:color="auto"/>
                    <w:right w:val="none" w:sz="0" w:space="0" w:color="auto"/>
                  </w:divBdr>
                  <w:divsChild>
                    <w:div w:id="1483034931">
                      <w:marLeft w:val="0"/>
                      <w:marRight w:val="0"/>
                      <w:marTop w:val="0"/>
                      <w:marBottom w:val="0"/>
                      <w:divBdr>
                        <w:top w:val="none" w:sz="0" w:space="0" w:color="auto"/>
                        <w:left w:val="none" w:sz="0" w:space="0" w:color="auto"/>
                        <w:bottom w:val="none" w:sz="0" w:space="0" w:color="auto"/>
                        <w:right w:val="none" w:sz="0" w:space="0" w:color="auto"/>
                      </w:divBdr>
                    </w:div>
                  </w:divsChild>
                </w:div>
                <w:div w:id="1142773348">
                  <w:marLeft w:val="0"/>
                  <w:marRight w:val="0"/>
                  <w:marTop w:val="0"/>
                  <w:marBottom w:val="0"/>
                  <w:divBdr>
                    <w:top w:val="none" w:sz="0" w:space="0" w:color="auto"/>
                    <w:left w:val="none" w:sz="0" w:space="0" w:color="auto"/>
                    <w:bottom w:val="none" w:sz="0" w:space="0" w:color="auto"/>
                    <w:right w:val="none" w:sz="0" w:space="0" w:color="auto"/>
                  </w:divBdr>
                  <w:divsChild>
                    <w:div w:id="930890341">
                      <w:marLeft w:val="0"/>
                      <w:marRight w:val="0"/>
                      <w:marTop w:val="0"/>
                      <w:marBottom w:val="0"/>
                      <w:divBdr>
                        <w:top w:val="none" w:sz="0" w:space="0" w:color="auto"/>
                        <w:left w:val="none" w:sz="0" w:space="0" w:color="auto"/>
                        <w:bottom w:val="none" w:sz="0" w:space="0" w:color="auto"/>
                        <w:right w:val="none" w:sz="0" w:space="0" w:color="auto"/>
                      </w:divBdr>
                    </w:div>
                  </w:divsChild>
                </w:div>
                <w:div w:id="1145200871">
                  <w:marLeft w:val="0"/>
                  <w:marRight w:val="0"/>
                  <w:marTop w:val="0"/>
                  <w:marBottom w:val="0"/>
                  <w:divBdr>
                    <w:top w:val="none" w:sz="0" w:space="0" w:color="auto"/>
                    <w:left w:val="none" w:sz="0" w:space="0" w:color="auto"/>
                    <w:bottom w:val="none" w:sz="0" w:space="0" w:color="auto"/>
                    <w:right w:val="none" w:sz="0" w:space="0" w:color="auto"/>
                  </w:divBdr>
                  <w:divsChild>
                    <w:div w:id="1371219702">
                      <w:marLeft w:val="0"/>
                      <w:marRight w:val="0"/>
                      <w:marTop w:val="0"/>
                      <w:marBottom w:val="0"/>
                      <w:divBdr>
                        <w:top w:val="none" w:sz="0" w:space="0" w:color="auto"/>
                        <w:left w:val="none" w:sz="0" w:space="0" w:color="auto"/>
                        <w:bottom w:val="none" w:sz="0" w:space="0" w:color="auto"/>
                        <w:right w:val="none" w:sz="0" w:space="0" w:color="auto"/>
                      </w:divBdr>
                    </w:div>
                  </w:divsChild>
                </w:div>
                <w:div w:id="185296938">
                  <w:marLeft w:val="0"/>
                  <w:marRight w:val="0"/>
                  <w:marTop w:val="0"/>
                  <w:marBottom w:val="0"/>
                  <w:divBdr>
                    <w:top w:val="none" w:sz="0" w:space="0" w:color="auto"/>
                    <w:left w:val="none" w:sz="0" w:space="0" w:color="auto"/>
                    <w:bottom w:val="none" w:sz="0" w:space="0" w:color="auto"/>
                    <w:right w:val="none" w:sz="0" w:space="0" w:color="auto"/>
                  </w:divBdr>
                  <w:divsChild>
                    <w:div w:id="514998660">
                      <w:marLeft w:val="0"/>
                      <w:marRight w:val="0"/>
                      <w:marTop w:val="0"/>
                      <w:marBottom w:val="0"/>
                      <w:divBdr>
                        <w:top w:val="none" w:sz="0" w:space="0" w:color="auto"/>
                        <w:left w:val="none" w:sz="0" w:space="0" w:color="auto"/>
                        <w:bottom w:val="none" w:sz="0" w:space="0" w:color="auto"/>
                        <w:right w:val="none" w:sz="0" w:space="0" w:color="auto"/>
                      </w:divBdr>
                    </w:div>
                  </w:divsChild>
                </w:div>
                <w:div w:id="1514953686">
                  <w:marLeft w:val="0"/>
                  <w:marRight w:val="0"/>
                  <w:marTop w:val="0"/>
                  <w:marBottom w:val="0"/>
                  <w:divBdr>
                    <w:top w:val="none" w:sz="0" w:space="0" w:color="auto"/>
                    <w:left w:val="none" w:sz="0" w:space="0" w:color="auto"/>
                    <w:bottom w:val="none" w:sz="0" w:space="0" w:color="auto"/>
                    <w:right w:val="none" w:sz="0" w:space="0" w:color="auto"/>
                  </w:divBdr>
                  <w:divsChild>
                    <w:div w:id="1272514463">
                      <w:marLeft w:val="0"/>
                      <w:marRight w:val="0"/>
                      <w:marTop w:val="0"/>
                      <w:marBottom w:val="0"/>
                      <w:divBdr>
                        <w:top w:val="none" w:sz="0" w:space="0" w:color="auto"/>
                        <w:left w:val="none" w:sz="0" w:space="0" w:color="auto"/>
                        <w:bottom w:val="none" w:sz="0" w:space="0" w:color="auto"/>
                        <w:right w:val="none" w:sz="0" w:space="0" w:color="auto"/>
                      </w:divBdr>
                    </w:div>
                  </w:divsChild>
                </w:div>
                <w:div w:id="1916894642">
                  <w:marLeft w:val="0"/>
                  <w:marRight w:val="0"/>
                  <w:marTop w:val="0"/>
                  <w:marBottom w:val="0"/>
                  <w:divBdr>
                    <w:top w:val="none" w:sz="0" w:space="0" w:color="auto"/>
                    <w:left w:val="none" w:sz="0" w:space="0" w:color="auto"/>
                    <w:bottom w:val="none" w:sz="0" w:space="0" w:color="auto"/>
                    <w:right w:val="none" w:sz="0" w:space="0" w:color="auto"/>
                  </w:divBdr>
                  <w:divsChild>
                    <w:div w:id="1083917353">
                      <w:marLeft w:val="0"/>
                      <w:marRight w:val="0"/>
                      <w:marTop w:val="0"/>
                      <w:marBottom w:val="0"/>
                      <w:divBdr>
                        <w:top w:val="none" w:sz="0" w:space="0" w:color="auto"/>
                        <w:left w:val="none" w:sz="0" w:space="0" w:color="auto"/>
                        <w:bottom w:val="none" w:sz="0" w:space="0" w:color="auto"/>
                        <w:right w:val="none" w:sz="0" w:space="0" w:color="auto"/>
                      </w:divBdr>
                    </w:div>
                  </w:divsChild>
                </w:div>
                <w:div w:id="910038692">
                  <w:marLeft w:val="0"/>
                  <w:marRight w:val="0"/>
                  <w:marTop w:val="0"/>
                  <w:marBottom w:val="0"/>
                  <w:divBdr>
                    <w:top w:val="none" w:sz="0" w:space="0" w:color="auto"/>
                    <w:left w:val="none" w:sz="0" w:space="0" w:color="auto"/>
                    <w:bottom w:val="none" w:sz="0" w:space="0" w:color="auto"/>
                    <w:right w:val="none" w:sz="0" w:space="0" w:color="auto"/>
                  </w:divBdr>
                  <w:divsChild>
                    <w:div w:id="1420834985">
                      <w:marLeft w:val="0"/>
                      <w:marRight w:val="0"/>
                      <w:marTop w:val="0"/>
                      <w:marBottom w:val="0"/>
                      <w:divBdr>
                        <w:top w:val="none" w:sz="0" w:space="0" w:color="auto"/>
                        <w:left w:val="none" w:sz="0" w:space="0" w:color="auto"/>
                        <w:bottom w:val="none" w:sz="0" w:space="0" w:color="auto"/>
                        <w:right w:val="none" w:sz="0" w:space="0" w:color="auto"/>
                      </w:divBdr>
                    </w:div>
                  </w:divsChild>
                </w:div>
                <w:div w:id="460805555">
                  <w:marLeft w:val="0"/>
                  <w:marRight w:val="0"/>
                  <w:marTop w:val="0"/>
                  <w:marBottom w:val="0"/>
                  <w:divBdr>
                    <w:top w:val="none" w:sz="0" w:space="0" w:color="auto"/>
                    <w:left w:val="none" w:sz="0" w:space="0" w:color="auto"/>
                    <w:bottom w:val="none" w:sz="0" w:space="0" w:color="auto"/>
                    <w:right w:val="none" w:sz="0" w:space="0" w:color="auto"/>
                  </w:divBdr>
                  <w:divsChild>
                    <w:div w:id="464734274">
                      <w:marLeft w:val="0"/>
                      <w:marRight w:val="0"/>
                      <w:marTop w:val="0"/>
                      <w:marBottom w:val="0"/>
                      <w:divBdr>
                        <w:top w:val="none" w:sz="0" w:space="0" w:color="auto"/>
                        <w:left w:val="none" w:sz="0" w:space="0" w:color="auto"/>
                        <w:bottom w:val="none" w:sz="0" w:space="0" w:color="auto"/>
                        <w:right w:val="none" w:sz="0" w:space="0" w:color="auto"/>
                      </w:divBdr>
                    </w:div>
                  </w:divsChild>
                </w:div>
                <w:div w:id="810368311">
                  <w:marLeft w:val="0"/>
                  <w:marRight w:val="0"/>
                  <w:marTop w:val="0"/>
                  <w:marBottom w:val="0"/>
                  <w:divBdr>
                    <w:top w:val="none" w:sz="0" w:space="0" w:color="auto"/>
                    <w:left w:val="none" w:sz="0" w:space="0" w:color="auto"/>
                    <w:bottom w:val="none" w:sz="0" w:space="0" w:color="auto"/>
                    <w:right w:val="none" w:sz="0" w:space="0" w:color="auto"/>
                  </w:divBdr>
                  <w:divsChild>
                    <w:div w:id="1600409540">
                      <w:marLeft w:val="0"/>
                      <w:marRight w:val="0"/>
                      <w:marTop w:val="0"/>
                      <w:marBottom w:val="0"/>
                      <w:divBdr>
                        <w:top w:val="none" w:sz="0" w:space="0" w:color="auto"/>
                        <w:left w:val="none" w:sz="0" w:space="0" w:color="auto"/>
                        <w:bottom w:val="none" w:sz="0" w:space="0" w:color="auto"/>
                        <w:right w:val="none" w:sz="0" w:space="0" w:color="auto"/>
                      </w:divBdr>
                    </w:div>
                  </w:divsChild>
                </w:div>
                <w:div w:id="2107075276">
                  <w:marLeft w:val="0"/>
                  <w:marRight w:val="0"/>
                  <w:marTop w:val="0"/>
                  <w:marBottom w:val="0"/>
                  <w:divBdr>
                    <w:top w:val="none" w:sz="0" w:space="0" w:color="auto"/>
                    <w:left w:val="none" w:sz="0" w:space="0" w:color="auto"/>
                    <w:bottom w:val="none" w:sz="0" w:space="0" w:color="auto"/>
                    <w:right w:val="none" w:sz="0" w:space="0" w:color="auto"/>
                  </w:divBdr>
                  <w:divsChild>
                    <w:div w:id="2119253647">
                      <w:marLeft w:val="0"/>
                      <w:marRight w:val="0"/>
                      <w:marTop w:val="0"/>
                      <w:marBottom w:val="0"/>
                      <w:divBdr>
                        <w:top w:val="none" w:sz="0" w:space="0" w:color="auto"/>
                        <w:left w:val="none" w:sz="0" w:space="0" w:color="auto"/>
                        <w:bottom w:val="none" w:sz="0" w:space="0" w:color="auto"/>
                        <w:right w:val="none" w:sz="0" w:space="0" w:color="auto"/>
                      </w:divBdr>
                    </w:div>
                  </w:divsChild>
                </w:div>
                <w:div w:id="2130581391">
                  <w:marLeft w:val="0"/>
                  <w:marRight w:val="0"/>
                  <w:marTop w:val="0"/>
                  <w:marBottom w:val="0"/>
                  <w:divBdr>
                    <w:top w:val="none" w:sz="0" w:space="0" w:color="auto"/>
                    <w:left w:val="none" w:sz="0" w:space="0" w:color="auto"/>
                    <w:bottom w:val="none" w:sz="0" w:space="0" w:color="auto"/>
                    <w:right w:val="none" w:sz="0" w:space="0" w:color="auto"/>
                  </w:divBdr>
                  <w:divsChild>
                    <w:div w:id="778061742">
                      <w:marLeft w:val="0"/>
                      <w:marRight w:val="0"/>
                      <w:marTop w:val="0"/>
                      <w:marBottom w:val="0"/>
                      <w:divBdr>
                        <w:top w:val="none" w:sz="0" w:space="0" w:color="auto"/>
                        <w:left w:val="none" w:sz="0" w:space="0" w:color="auto"/>
                        <w:bottom w:val="none" w:sz="0" w:space="0" w:color="auto"/>
                        <w:right w:val="none" w:sz="0" w:space="0" w:color="auto"/>
                      </w:divBdr>
                    </w:div>
                  </w:divsChild>
                </w:div>
                <w:div w:id="2050570447">
                  <w:marLeft w:val="0"/>
                  <w:marRight w:val="0"/>
                  <w:marTop w:val="0"/>
                  <w:marBottom w:val="0"/>
                  <w:divBdr>
                    <w:top w:val="none" w:sz="0" w:space="0" w:color="auto"/>
                    <w:left w:val="none" w:sz="0" w:space="0" w:color="auto"/>
                    <w:bottom w:val="none" w:sz="0" w:space="0" w:color="auto"/>
                    <w:right w:val="none" w:sz="0" w:space="0" w:color="auto"/>
                  </w:divBdr>
                  <w:divsChild>
                    <w:div w:id="1344670574">
                      <w:marLeft w:val="0"/>
                      <w:marRight w:val="0"/>
                      <w:marTop w:val="0"/>
                      <w:marBottom w:val="0"/>
                      <w:divBdr>
                        <w:top w:val="none" w:sz="0" w:space="0" w:color="auto"/>
                        <w:left w:val="none" w:sz="0" w:space="0" w:color="auto"/>
                        <w:bottom w:val="none" w:sz="0" w:space="0" w:color="auto"/>
                        <w:right w:val="none" w:sz="0" w:space="0" w:color="auto"/>
                      </w:divBdr>
                    </w:div>
                  </w:divsChild>
                </w:div>
                <w:div w:id="1255939887">
                  <w:marLeft w:val="0"/>
                  <w:marRight w:val="0"/>
                  <w:marTop w:val="0"/>
                  <w:marBottom w:val="0"/>
                  <w:divBdr>
                    <w:top w:val="none" w:sz="0" w:space="0" w:color="auto"/>
                    <w:left w:val="none" w:sz="0" w:space="0" w:color="auto"/>
                    <w:bottom w:val="none" w:sz="0" w:space="0" w:color="auto"/>
                    <w:right w:val="none" w:sz="0" w:space="0" w:color="auto"/>
                  </w:divBdr>
                  <w:divsChild>
                    <w:div w:id="138230560">
                      <w:marLeft w:val="0"/>
                      <w:marRight w:val="0"/>
                      <w:marTop w:val="0"/>
                      <w:marBottom w:val="0"/>
                      <w:divBdr>
                        <w:top w:val="none" w:sz="0" w:space="0" w:color="auto"/>
                        <w:left w:val="none" w:sz="0" w:space="0" w:color="auto"/>
                        <w:bottom w:val="none" w:sz="0" w:space="0" w:color="auto"/>
                        <w:right w:val="none" w:sz="0" w:space="0" w:color="auto"/>
                      </w:divBdr>
                    </w:div>
                  </w:divsChild>
                </w:div>
                <w:div w:id="1648590774">
                  <w:marLeft w:val="0"/>
                  <w:marRight w:val="0"/>
                  <w:marTop w:val="0"/>
                  <w:marBottom w:val="0"/>
                  <w:divBdr>
                    <w:top w:val="none" w:sz="0" w:space="0" w:color="auto"/>
                    <w:left w:val="none" w:sz="0" w:space="0" w:color="auto"/>
                    <w:bottom w:val="none" w:sz="0" w:space="0" w:color="auto"/>
                    <w:right w:val="none" w:sz="0" w:space="0" w:color="auto"/>
                  </w:divBdr>
                  <w:divsChild>
                    <w:div w:id="1277710307">
                      <w:marLeft w:val="0"/>
                      <w:marRight w:val="0"/>
                      <w:marTop w:val="0"/>
                      <w:marBottom w:val="0"/>
                      <w:divBdr>
                        <w:top w:val="none" w:sz="0" w:space="0" w:color="auto"/>
                        <w:left w:val="none" w:sz="0" w:space="0" w:color="auto"/>
                        <w:bottom w:val="none" w:sz="0" w:space="0" w:color="auto"/>
                        <w:right w:val="none" w:sz="0" w:space="0" w:color="auto"/>
                      </w:divBdr>
                    </w:div>
                  </w:divsChild>
                </w:div>
                <w:div w:id="558715417">
                  <w:marLeft w:val="0"/>
                  <w:marRight w:val="0"/>
                  <w:marTop w:val="0"/>
                  <w:marBottom w:val="0"/>
                  <w:divBdr>
                    <w:top w:val="none" w:sz="0" w:space="0" w:color="auto"/>
                    <w:left w:val="none" w:sz="0" w:space="0" w:color="auto"/>
                    <w:bottom w:val="none" w:sz="0" w:space="0" w:color="auto"/>
                    <w:right w:val="none" w:sz="0" w:space="0" w:color="auto"/>
                  </w:divBdr>
                  <w:divsChild>
                    <w:div w:id="701787525">
                      <w:marLeft w:val="0"/>
                      <w:marRight w:val="0"/>
                      <w:marTop w:val="0"/>
                      <w:marBottom w:val="0"/>
                      <w:divBdr>
                        <w:top w:val="none" w:sz="0" w:space="0" w:color="auto"/>
                        <w:left w:val="none" w:sz="0" w:space="0" w:color="auto"/>
                        <w:bottom w:val="none" w:sz="0" w:space="0" w:color="auto"/>
                        <w:right w:val="none" w:sz="0" w:space="0" w:color="auto"/>
                      </w:divBdr>
                    </w:div>
                  </w:divsChild>
                </w:div>
                <w:div w:id="1140421829">
                  <w:marLeft w:val="0"/>
                  <w:marRight w:val="0"/>
                  <w:marTop w:val="0"/>
                  <w:marBottom w:val="0"/>
                  <w:divBdr>
                    <w:top w:val="none" w:sz="0" w:space="0" w:color="auto"/>
                    <w:left w:val="none" w:sz="0" w:space="0" w:color="auto"/>
                    <w:bottom w:val="none" w:sz="0" w:space="0" w:color="auto"/>
                    <w:right w:val="none" w:sz="0" w:space="0" w:color="auto"/>
                  </w:divBdr>
                  <w:divsChild>
                    <w:div w:id="781416411">
                      <w:marLeft w:val="0"/>
                      <w:marRight w:val="0"/>
                      <w:marTop w:val="0"/>
                      <w:marBottom w:val="0"/>
                      <w:divBdr>
                        <w:top w:val="none" w:sz="0" w:space="0" w:color="auto"/>
                        <w:left w:val="none" w:sz="0" w:space="0" w:color="auto"/>
                        <w:bottom w:val="none" w:sz="0" w:space="0" w:color="auto"/>
                        <w:right w:val="none" w:sz="0" w:space="0" w:color="auto"/>
                      </w:divBdr>
                    </w:div>
                  </w:divsChild>
                </w:div>
                <w:div w:id="1093745230">
                  <w:marLeft w:val="0"/>
                  <w:marRight w:val="0"/>
                  <w:marTop w:val="0"/>
                  <w:marBottom w:val="0"/>
                  <w:divBdr>
                    <w:top w:val="none" w:sz="0" w:space="0" w:color="auto"/>
                    <w:left w:val="none" w:sz="0" w:space="0" w:color="auto"/>
                    <w:bottom w:val="none" w:sz="0" w:space="0" w:color="auto"/>
                    <w:right w:val="none" w:sz="0" w:space="0" w:color="auto"/>
                  </w:divBdr>
                  <w:divsChild>
                    <w:div w:id="1649624964">
                      <w:marLeft w:val="0"/>
                      <w:marRight w:val="0"/>
                      <w:marTop w:val="0"/>
                      <w:marBottom w:val="0"/>
                      <w:divBdr>
                        <w:top w:val="none" w:sz="0" w:space="0" w:color="auto"/>
                        <w:left w:val="none" w:sz="0" w:space="0" w:color="auto"/>
                        <w:bottom w:val="none" w:sz="0" w:space="0" w:color="auto"/>
                        <w:right w:val="none" w:sz="0" w:space="0" w:color="auto"/>
                      </w:divBdr>
                    </w:div>
                  </w:divsChild>
                </w:div>
                <w:div w:id="2026982453">
                  <w:marLeft w:val="0"/>
                  <w:marRight w:val="0"/>
                  <w:marTop w:val="0"/>
                  <w:marBottom w:val="0"/>
                  <w:divBdr>
                    <w:top w:val="none" w:sz="0" w:space="0" w:color="auto"/>
                    <w:left w:val="none" w:sz="0" w:space="0" w:color="auto"/>
                    <w:bottom w:val="none" w:sz="0" w:space="0" w:color="auto"/>
                    <w:right w:val="none" w:sz="0" w:space="0" w:color="auto"/>
                  </w:divBdr>
                  <w:divsChild>
                    <w:div w:id="1398670873">
                      <w:marLeft w:val="0"/>
                      <w:marRight w:val="0"/>
                      <w:marTop w:val="0"/>
                      <w:marBottom w:val="0"/>
                      <w:divBdr>
                        <w:top w:val="none" w:sz="0" w:space="0" w:color="auto"/>
                        <w:left w:val="none" w:sz="0" w:space="0" w:color="auto"/>
                        <w:bottom w:val="none" w:sz="0" w:space="0" w:color="auto"/>
                        <w:right w:val="none" w:sz="0" w:space="0" w:color="auto"/>
                      </w:divBdr>
                    </w:div>
                  </w:divsChild>
                </w:div>
                <w:div w:id="338429948">
                  <w:marLeft w:val="0"/>
                  <w:marRight w:val="0"/>
                  <w:marTop w:val="0"/>
                  <w:marBottom w:val="0"/>
                  <w:divBdr>
                    <w:top w:val="none" w:sz="0" w:space="0" w:color="auto"/>
                    <w:left w:val="none" w:sz="0" w:space="0" w:color="auto"/>
                    <w:bottom w:val="none" w:sz="0" w:space="0" w:color="auto"/>
                    <w:right w:val="none" w:sz="0" w:space="0" w:color="auto"/>
                  </w:divBdr>
                  <w:divsChild>
                    <w:div w:id="457914255">
                      <w:marLeft w:val="0"/>
                      <w:marRight w:val="0"/>
                      <w:marTop w:val="0"/>
                      <w:marBottom w:val="0"/>
                      <w:divBdr>
                        <w:top w:val="none" w:sz="0" w:space="0" w:color="auto"/>
                        <w:left w:val="none" w:sz="0" w:space="0" w:color="auto"/>
                        <w:bottom w:val="none" w:sz="0" w:space="0" w:color="auto"/>
                        <w:right w:val="none" w:sz="0" w:space="0" w:color="auto"/>
                      </w:divBdr>
                    </w:div>
                  </w:divsChild>
                </w:div>
                <w:div w:id="4208695">
                  <w:marLeft w:val="0"/>
                  <w:marRight w:val="0"/>
                  <w:marTop w:val="0"/>
                  <w:marBottom w:val="0"/>
                  <w:divBdr>
                    <w:top w:val="none" w:sz="0" w:space="0" w:color="auto"/>
                    <w:left w:val="none" w:sz="0" w:space="0" w:color="auto"/>
                    <w:bottom w:val="none" w:sz="0" w:space="0" w:color="auto"/>
                    <w:right w:val="none" w:sz="0" w:space="0" w:color="auto"/>
                  </w:divBdr>
                  <w:divsChild>
                    <w:div w:id="1275870192">
                      <w:marLeft w:val="0"/>
                      <w:marRight w:val="0"/>
                      <w:marTop w:val="0"/>
                      <w:marBottom w:val="0"/>
                      <w:divBdr>
                        <w:top w:val="none" w:sz="0" w:space="0" w:color="auto"/>
                        <w:left w:val="none" w:sz="0" w:space="0" w:color="auto"/>
                        <w:bottom w:val="none" w:sz="0" w:space="0" w:color="auto"/>
                        <w:right w:val="none" w:sz="0" w:space="0" w:color="auto"/>
                      </w:divBdr>
                    </w:div>
                  </w:divsChild>
                </w:div>
                <w:div w:id="1869562010">
                  <w:marLeft w:val="0"/>
                  <w:marRight w:val="0"/>
                  <w:marTop w:val="0"/>
                  <w:marBottom w:val="0"/>
                  <w:divBdr>
                    <w:top w:val="none" w:sz="0" w:space="0" w:color="auto"/>
                    <w:left w:val="none" w:sz="0" w:space="0" w:color="auto"/>
                    <w:bottom w:val="none" w:sz="0" w:space="0" w:color="auto"/>
                    <w:right w:val="none" w:sz="0" w:space="0" w:color="auto"/>
                  </w:divBdr>
                  <w:divsChild>
                    <w:div w:id="516039422">
                      <w:marLeft w:val="0"/>
                      <w:marRight w:val="0"/>
                      <w:marTop w:val="0"/>
                      <w:marBottom w:val="0"/>
                      <w:divBdr>
                        <w:top w:val="none" w:sz="0" w:space="0" w:color="auto"/>
                        <w:left w:val="none" w:sz="0" w:space="0" w:color="auto"/>
                        <w:bottom w:val="none" w:sz="0" w:space="0" w:color="auto"/>
                        <w:right w:val="none" w:sz="0" w:space="0" w:color="auto"/>
                      </w:divBdr>
                    </w:div>
                  </w:divsChild>
                </w:div>
                <w:div w:id="1213543983">
                  <w:marLeft w:val="0"/>
                  <w:marRight w:val="0"/>
                  <w:marTop w:val="0"/>
                  <w:marBottom w:val="0"/>
                  <w:divBdr>
                    <w:top w:val="none" w:sz="0" w:space="0" w:color="auto"/>
                    <w:left w:val="none" w:sz="0" w:space="0" w:color="auto"/>
                    <w:bottom w:val="none" w:sz="0" w:space="0" w:color="auto"/>
                    <w:right w:val="none" w:sz="0" w:space="0" w:color="auto"/>
                  </w:divBdr>
                  <w:divsChild>
                    <w:div w:id="1811243137">
                      <w:marLeft w:val="0"/>
                      <w:marRight w:val="0"/>
                      <w:marTop w:val="0"/>
                      <w:marBottom w:val="0"/>
                      <w:divBdr>
                        <w:top w:val="none" w:sz="0" w:space="0" w:color="auto"/>
                        <w:left w:val="none" w:sz="0" w:space="0" w:color="auto"/>
                        <w:bottom w:val="none" w:sz="0" w:space="0" w:color="auto"/>
                        <w:right w:val="none" w:sz="0" w:space="0" w:color="auto"/>
                      </w:divBdr>
                    </w:div>
                  </w:divsChild>
                </w:div>
                <w:div w:id="1384476846">
                  <w:marLeft w:val="0"/>
                  <w:marRight w:val="0"/>
                  <w:marTop w:val="0"/>
                  <w:marBottom w:val="0"/>
                  <w:divBdr>
                    <w:top w:val="none" w:sz="0" w:space="0" w:color="auto"/>
                    <w:left w:val="none" w:sz="0" w:space="0" w:color="auto"/>
                    <w:bottom w:val="none" w:sz="0" w:space="0" w:color="auto"/>
                    <w:right w:val="none" w:sz="0" w:space="0" w:color="auto"/>
                  </w:divBdr>
                  <w:divsChild>
                    <w:div w:id="1354500619">
                      <w:marLeft w:val="0"/>
                      <w:marRight w:val="0"/>
                      <w:marTop w:val="0"/>
                      <w:marBottom w:val="0"/>
                      <w:divBdr>
                        <w:top w:val="none" w:sz="0" w:space="0" w:color="auto"/>
                        <w:left w:val="none" w:sz="0" w:space="0" w:color="auto"/>
                        <w:bottom w:val="none" w:sz="0" w:space="0" w:color="auto"/>
                        <w:right w:val="none" w:sz="0" w:space="0" w:color="auto"/>
                      </w:divBdr>
                    </w:div>
                  </w:divsChild>
                </w:div>
                <w:div w:id="984235429">
                  <w:marLeft w:val="0"/>
                  <w:marRight w:val="0"/>
                  <w:marTop w:val="0"/>
                  <w:marBottom w:val="0"/>
                  <w:divBdr>
                    <w:top w:val="none" w:sz="0" w:space="0" w:color="auto"/>
                    <w:left w:val="none" w:sz="0" w:space="0" w:color="auto"/>
                    <w:bottom w:val="none" w:sz="0" w:space="0" w:color="auto"/>
                    <w:right w:val="none" w:sz="0" w:space="0" w:color="auto"/>
                  </w:divBdr>
                  <w:divsChild>
                    <w:div w:id="1890453035">
                      <w:marLeft w:val="0"/>
                      <w:marRight w:val="0"/>
                      <w:marTop w:val="0"/>
                      <w:marBottom w:val="0"/>
                      <w:divBdr>
                        <w:top w:val="none" w:sz="0" w:space="0" w:color="auto"/>
                        <w:left w:val="none" w:sz="0" w:space="0" w:color="auto"/>
                        <w:bottom w:val="none" w:sz="0" w:space="0" w:color="auto"/>
                        <w:right w:val="none" w:sz="0" w:space="0" w:color="auto"/>
                      </w:divBdr>
                    </w:div>
                  </w:divsChild>
                </w:div>
                <w:div w:id="1716275171">
                  <w:marLeft w:val="0"/>
                  <w:marRight w:val="0"/>
                  <w:marTop w:val="0"/>
                  <w:marBottom w:val="0"/>
                  <w:divBdr>
                    <w:top w:val="none" w:sz="0" w:space="0" w:color="auto"/>
                    <w:left w:val="none" w:sz="0" w:space="0" w:color="auto"/>
                    <w:bottom w:val="none" w:sz="0" w:space="0" w:color="auto"/>
                    <w:right w:val="none" w:sz="0" w:space="0" w:color="auto"/>
                  </w:divBdr>
                  <w:divsChild>
                    <w:div w:id="151263510">
                      <w:marLeft w:val="0"/>
                      <w:marRight w:val="0"/>
                      <w:marTop w:val="0"/>
                      <w:marBottom w:val="0"/>
                      <w:divBdr>
                        <w:top w:val="none" w:sz="0" w:space="0" w:color="auto"/>
                        <w:left w:val="none" w:sz="0" w:space="0" w:color="auto"/>
                        <w:bottom w:val="none" w:sz="0" w:space="0" w:color="auto"/>
                        <w:right w:val="none" w:sz="0" w:space="0" w:color="auto"/>
                      </w:divBdr>
                    </w:div>
                  </w:divsChild>
                </w:div>
                <w:div w:id="1407651978">
                  <w:marLeft w:val="0"/>
                  <w:marRight w:val="0"/>
                  <w:marTop w:val="0"/>
                  <w:marBottom w:val="0"/>
                  <w:divBdr>
                    <w:top w:val="none" w:sz="0" w:space="0" w:color="auto"/>
                    <w:left w:val="none" w:sz="0" w:space="0" w:color="auto"/>
                    <w:bottom w:val="none" w:sz="0" w:space="0" w:color="auto"/>
                    <w:right w:val="none" w:sz="0" w:space="0" w:color="auto"/>
                  </w:divBdr>
                  <w:divsChild>
                    <w:div w:id="1989095443">
                      <w:marLeft w:val="0"/>
                      <w:marRight w:val="0"/>
                      <w:marTop w:val="0"/>
                      <w:marBottom w:val="0"/>
                      <w:divBdr>
                        <w:top w:val="none" w:sz="0" w:space="0" w:color="auto"/>
                        <w:left w:val="none" w:sz="0" w:space="0" w:color="auto"/>
                        <w:bottom w:val="none" w:sz="0" w:space="0" w:color="auto"/>
                        <w:right w:val="none" w:sz="0" w:space="0" w:color="auto"/>
                      </w:divBdr>
                    </w:div>
                  </w:divsChild>
                </w:div>
                <w:div w:id="184515446">
                  <w:marLeft w:val="0"/>
                  <w:marRight w:val="0"/>
                  <w:marTop w:val="0"/>
                  <w:marBottom w:val="0"/>
                  <w:divBdr>
                    <w:top w:val="none" w:sz="0" w:space="0" w:color="auto"/>
                    <w:left w:val="none" w:sz="0" w:space="0" w:color="auto"/>
                    <w:bottom w:val="none" w:sz="0" w:space="0" w:color="auto"/>
                    <w:right w:val="none" w:sz="0" w:space="0" w:color="auto"/>
                  </w:divBdr>
                  <w:divsChild>
                    <w:div w:id="128019704">
                      <w:marLeft w:val="0"/>
                      <w:marRight w:val="0"/>
                      <w:marTop w:val="0"/>
                      <w:marBottom w:val="0"/>
                      <w:divBdr>
                        <w:top w:val="none" w:sz="0" w:space="0" w:color="auto"/>
                        <w:left w:val="none" w:sz="0" w:space="0" w:color="auto"/>
                        <w:bottom w:val="none" w:sz="0" w:space="0" w:color="auto"/>
                        <w:right w:val="none" w:sz="0" w:space="0" w:color="auto"/>
                      </w:divBdr>
                    </w:div>
                  </w:divsChild>
                </w:div>
                <w:div w:id="1424299680">
                  <w:marLeft w:val="0"/>
                  <w:marRight w:val="0"/>
                  <w:marTop w:val="0"/>
                  <w:marBottom w:val="0"/>
                  <w:divBdr>
                    <w:top w:val="none" w:sz="0" w:space="0" w:color="auto"/>
                    <w:left w:val="none" w:sz="0" w:space="0" w:color="auto"/>
                    <w:bottom w:val="none" w:sz="0" w:space="0" w:color="auto"/>
                    <w:right w:val="none" w:sz="0" w:space="0" w:color="auto"/>
                  </w:divBdr>
                  <w:divsChild>
                    <w:div w:id="398092454">
                      <w:marLeft w:val="0"/>
                      <w:marRight w:val="0"/>
                      <w:marTop w:val="0"/>
                      <w:marBottom w:val="0"/>
                      <w:divBdr>
                        <w:top w:val="none" w:sz="0" w:space="0" w:color="auto"/>
                        <w:left w:val="none" w:sz="0" w:space="0" w:color="auto"/>
                        <w:bottom w:val="none" w:sz="0" w:space="0" w:color="auto"/>
                        <w:right w:val="none" w:sz="0" w:space="0" w:color="auto"/>
                      </w:divBdr>
                    </w:div>
                  </w:divsChild>
                </w:div>
                <w:div w:id="1592857191">
                  <w:marLeft w:val="0"/>
                  <w:marRight w:val="0"/>
                  <w:marTop w:val="0"/>
                  <w:marBottom w:val="0"/>
                  <w:divBdr>
                    <w:top w:val="none" w:sz="0" w:space="0" w:color="auto"/>
                    <w:left w:val="none" w:sz="0" w:space="0" w:color="auto"/>
                    <w:bottom w:val="none" w:sz="0" w:space="0" w:color="auto"/>
                    <w:right w:val="none" w:sz="0" w:space="0" w:color="auto"/>
                  </w:divBdr>
                  <w:divsChild>
                    <w:div w:id="2013529167">
                      <w:marLeft w:val="0"/>
                      <w:marRight w:val="0"/>
                      <w:marTop w:val="0"/>
                      <w:marBottom w:val="0"/>
                      <w:divBdr>
                        <w:top w:val="none" w:sz="0" w:space="0" w:color="auto"/>
                        <w:left w:val="none" w:sz="0" w:space="0" w:color="auto"/>
                        <w:bottom w:val="none" w:sz="0" w:space="0" w:color="auto"/>
                        <w:right w:val="none" w:sz="0" w:space="0" w:color="auto"/>
                      </w:divBdr>
                    </w:div>
                  </w:divsChild>
                </w:div>
                <w:div w:id="35744957">
                  <w:marLeft w:val="0"/>
                  <w:marRight w:val="0"/>
                  <w:marTop w:val="0"/>
                  <w:marBottom w:val="0"/>
                  <w:divBdr>
                    <w:top w:val="none" w:sz="0" w:space="0" w:color="auto"/>
                    <w:left w:val="none" w:sz="0" w:space="0" w:color="auto"/>
                    <w:bottom w:val="none" w:sz="0" w:space="0" w:color="auto"/>
                    <w:right w:val="none" w:sz="0" w:space="0" w:color="auto"/>
                  </w:divBdr>
                  <w:divsChild>
                    <w:div w:id="1970939366">
                      <w:marLeft w:val="0"/>
                      <w:marRight w:val="0"/>
                      <w:marTop w:val="0"/>
                      <w:marBottom w:val="0"/>
                      <w:divBdr>
                        <w:top w:val="none" w:sz="0" w:space="0" w:color="auto"/>
                        <w:left w:val="none" w:sz="0" w:space="0" w:color="auto"/>
                        <w:bottom w:val="none" w:sz="0" w:space="0" w:color="auto"/>
                        <w:right w:val="none" w:sz="0" w:space="0" w:color="auto"/>
                      </w:divBdr>
                    </w:div>
                  </w:divsChild>
                </w:div>
                <w:div w:id="1187669868">
                  <w:marLeft w:val="0"/>
                  <w:marRight w:val="0"/>
                  <w:marTop w:val="0"/>
                  <w:marBottom w:val="0"/>
                  <w:divBdr>
                    <w:top w:val="none" w:sz="0" w:space="0" w:color="auto"/>
                    <w:left w:val="none" w:sz="0" w:space="0" w:color="auto"/>
                    <w:bottom w:val="none" w:sz="0" w:space="0" w:color="auto"/>
                    <w:right w:val="none" w:sz="0" w:space="0" w:color="auto"/>
                  </w:divBdr>
                  <w:divsChild>
                    <w:div w:id="920453172">
                      <w:marLeft w:val="0"/>
                      <w:marRight w:val="0"/>
                      <w:marTop w:val="0"/>
                      <w:marBottom w:val="0"/>
                      <w:divBdr>
                        <w:top w:val="none" w:sz="0" w:space="0" w:color="auto"/>
                        <w:left w:val="none" w:sz="0" w:space="0" w:color="auto"/>
                        <w:bottom w:val="none" w:sz="0" w:space="0" w:color="auto"/>
                        <w:right w:val="none" w:sz="0" w:space="0" w:color="auto"/>
                      </w:divBdr>
                    </w:div>
                  </w:divsChild>
                </w:div>
                <w:div w:id="895513568">
                  <w:marLeft w:val="0"/>
                  <w:marRight w:val="0"/>
                  <w:marTop w:val="0"/>
                  <w:marBottom w:val="0"/>
                  <w:divBdr>
                    <w:top w:val="none" w:sz="0" w:space="0" w:color="auto"/>
                    <w:left w:val="none" w:sz="0" w:space="0" w:color="auto"/>
                    <w:bottom w:val="none" w:sz="0" w:space="0" w:color="auto"/>
                    <w:right w:val="none" w:sz="0" w:space="0" w:color="auto"/>
                  </w:divBdr>
                  <w:divsChild>
                    <w:div w:id="846486309">
                      <w:marLeft w:val="0"/>
                      <w:marRight w:val="0"/>
                      <w:marTop w:val="0"/>
                      <w:marBottom w:val="0"/>
                      <w:divBdr>
                        <w:top w:val="none" w:sz="0" w:space="0" w:color="auto"/>
                        <w:left w:val="none" w:sz="0" w:space="0" w:color="auto"/>
                        <w:bottom w:val="none" w:sz="0" w:space="0" w:color="auto"/>
                        <w:right w:val="none" w:sz="0" w:space="0" w:color="auto"/>
                      </w:divBdr>
                    </w:div>
                  </w:divsChild>
                </w:div>
                <w:div w:id="734864761">
                  <w:marLeft w:val="0"/>
                  <w:marRight w:val="0"/>
                  <w:marTop w:val="0"/>
                  <w:marBottom w:val="0"/>
                  <w:divBdr>
                    <w:top w:val="none" w:sz="0" w:space="0" w:color="auto"/>
                    <w:left w:val="none" w:sz="0" w:space="0" w:color="auto"/>
                    <w:bottom w:val="none" w:sz="0" w:space="0" w:color="auto"/>
                    <w:right w:val="none" w:sz="0" w:space="0" w:color="auto"/>
                  </w:divBdr>
                  <w:divsChild>
                    <w:div w:id="2023629841">
                      <w:marLeft w:val="0"/>
                      <w:marRight w:val="0"/>
                      <w:marTop w:val="0"/>
                      <w:marBottom w:val="0"/>
                      <w:divBdr>
                        <w:top w:val="none" w:sz="0" w:space="0" w:color="auto"/>
                        <w:left w:val="none" w:sz="0" w:space="0" w:color="auto"/>
                        <w:bottom w:val="none" w:sz="0" w:space="0" w:color="auto"/>
                        <w:right w:val="none" w:sz="0" w:space="0" w:color="auto"/>
                      </w:divBdr>
                    </w:div>
                  </w:divsChild>
                </w:div>
                <w:div w:id="1389109835">
                  <w:marLeft w:val="0"/>
                  <w:marRight w:val="0"/>
                  <w:marTop w:val="0"/>
                  <w:marBottom w:val="0"/>
                  <w:divBdr>
                    <w:top w:val="none" w:sz="0" w:space="0" w:color="auto"/>
                    <w:left w:val="none" w:sz="0" w:space="0" w:color="auto"/>
                    <w:bottom w:val="none" w:sz="0" w:space="0" w:color="auto"/>
                    <w:right w:val="none" w:sz="0" w:space="0" w:color="auto"/>
                  </w:divBdr>
                  <w:divsChild>
                    <w:div w:id="627784200">
                      <w:marLeft w:val="0"/>
                      <w:marRight w:val="0"/>
                      <w:marTop w:val="0"/>
                      <w:marBottom w:val="0"/>
                      <w:divBdr>
                        <w:top w:val="none" w:sz="0" w:space="0" w:color="auto"/>
                        <w:left w:val="none" w:sz="0" w:space="0" w:color="auto"/>
                        <w:bottom w:val="none" w:sz="0" w:space="0" w:color="auto"/>
                        <w:right w:val="none" w:sz="0" w:space="0" w:color="auto"/>
                      </w:divBdr>
                    </w:div>
                  </w:divsChild>
                </w:div>
                <w:div w:id="1423448925">
                  <w:marLeft w:val="0"/>
                  <w:marRight w:val="0"/>
                  <w:marTop w:val="0"/>
                  <w:marBottom w:val="0"/>
                  <w:divBdr>
                    <w:top w:val="none" w:sz="0" w:space="0" w:color="auto"/>
                    <w:left w:val="none" w:sz="0" w:space="0" w:color="auto"/>
                    <w:bottom w:val="none" w:sz="0" w:space="0" w:color="auto"/>
                    <w:right w:val="none" w:sz="0" w:space="0" w:color="auto"/>
                  </w:divBdr>
                  <w:divsChild>
                    <w:div w:id="554583841">
                      <w:marLeft w:val="0"/>
                      <w:marRight w:val="0"/>
                      <w:marTop w:val="0"/>
                      <w:marBottom w:val="0"/>
                      <w:divBdr>
                        <w:top w:val="none" w:sz="0" w:space="0" w:color="auto"/>
                        <w:left w:val="none" w:sz="0" w:space="0" w:color="auto"/>
                        <w:bottom w:val="none" w:sz="0" w:space="0" w:color="auto"/>
                        <w:right w:val="none" w:sz="0" w:space="0" w:color="auto"/>
                      </w:divBdr>
                    </w:div>
                  </w:divsChild>
                </w:div>
                <w:div w:id="300311729">
                  <w:marLeft w:val="0"/>
                  <w:marRight w:val="0"/>
                  <w:marTop w:val="0"/>
                  <w:marBottom w:val="0"/>
                  <w:divBdr>
                    <w:top w:val="none" w:sz="0" w:space="0" w:color="auto"/>
                    <w:left w:val="none" w:sz="0" w:space="0" w:color="auto"/>
                    <w:bottom w:val="none" w:sz="0" w:space="0" w:color="auto"/>
                    <w:right w:val="none" w:sz="0" w:space="0" w:color="auto"/>
                  </w:divBdr>
                  <w:divsChild>
                    <w:div w:id="1271889045">
                      <w:marLeft w:val="0"/>
                      <w:marRight w:val="0"/>
                      <w:marTop w:val="0"/>
                      <w:marBottom w:val="0"/>
                      <w:divBdr>
                        <w:top w:val="none" w:sz="0" w:space="0" w:color="auto"/>
                        <w:left w:val="none" w:sz="0" w:space="0" w:color="auto"/>
                        <w:bottom w:val="none" w:sz="0" w:space="0" w:color="auto"/>
                        <w:right w:val="none" w:sz="0" w:space="0" w:color="auto"/>
                      </w:divBdr>
                    </w:div>
                  </w:divsChild>
                </w:div>
                <w:div w:id="602424473">
                  <w:marLeft w:val="0"/>
                  <w:marRight w:val="0"/>
                  <w:marTop w:val="0"/>
                  <w:marBottom w:val="0"/>
                  <w:divBdr>
                    <w:top w:val="none" w:sz="0" w:space="0" w:color="auto"/>
                    <w:left w:val="none" w:sz="0" w:space="0" w:color="auto"/>
                    <w:bottom w:val="none" w:sz="0" w:space="0" w:color="auto"/>
                    <w:right w:val="none" w:sz="0" w:space="0" w:color="auto"/>
                  </w:divBdr>
                  <w:divsChild>
                    <w:div w:id="179050699">
                      <w:marLeft w:val="0"/>
                      <w:marRight w:val="0"/>
                      <w:marTop w:val="0"/>
                      <w:marBottom w:val="0"/>
                      <w:divBdr>
                        <w:top w:val="none" w:sz="0" w:space="0" w:color="auto"/>
                        <w:left w:val="none" w:sz="0" w:space="0" w:color="auto"/>
                        <w:bottom w:val="none" w:sz="0" w:space="0" w:color="auto"/>
                        <w:right w:val="none" w:sz="0" w:space="0" w:color="auto"/>
                      </w:divBdr>
                    </w:div>
                  </w:divsChild>
                </w:div>
                <w:div w:id="2062635003">
                  <w:marLeft w:val="0"/>
                  <w:marRight w:val="0"/>
                  <w:marTop w:val="0"/>
                  <w:marBottom w:val="0"/>
                  <w:divBdr>
                    <w:top w:val="none" w:sz="0" w:space="0" w:color="auto"/>
                    <w:left w:val="none" w:sz="0" w:space="0" w:color="auto"/>
                    <w:bottom w:val="none" w:sz="0" w:space="0" w:color="auto"/>
                    <w:right w:val="none" w:sz="0" w:space="0" w:color="auto"/>
                  </w:divBdr>
                  <w:divsChild>
                    <w:div w:id="1118984885">
                      <w:marLeft w:val="0"/>
                      <w:marRight w:val="0"/>
                      <w:marTop w:val="0"/>
                      <w:marBottom w:val="0"/>
                      <w:divBdr>
                        <w:top w:val="none" w:sz="0" w:space="0" w:color="auto"/>
                        <w:left w:val="none" w:sz="0" w:space="0" w:color="auto"/>
                        <w:bottom w:val="none" w:sz="0" w:space="0" w:color="auto"/>
                        <w:right w:val="none" w:sz="0" w:space="0" w:color="auto"/>
                      </w:divBdr>
                    </w:div>
                  </w:divsChild>
                </w:div>
                <w:div w:id="947153963">
                  <w:marLeft w:val="0"/>
                  <w:marRight w:val="0"/>
                  <w:marTop w:val="0"/>
                  <w:marBottom w:val="0"/>
                  <w:divBdr>
                    <w:top w:val="none" w:sz="0" w:space="0" w:color="auto"/>
                    <w:left w:val="none" w:sz="0" w:space="0" w:color="auto"/>
                    <w:bottom w:val="none" w:sz="0" w:space="0" w:color="auto"/>
                    <w:right w:val="none" w:sz="0" w:space="0" w:color="auto"/>
                  </w:divBdr>
                  <w:divsChild>
                    <w:div w:id="2113939617">
                      <w:marLeft w:val="0"/>
                      <w:marRight w:val="0"/>
                      <w:marTop w:val="0"/>
                      <w:marBottom w:val="0"/>
                      <w:divBdr>
                        <w:top w:val="none" w:sz="0" w:space="0" w:color="auto"/>
                        <w:left w:val="none" w:sz="0" w:space="0" w:color="auto"/>
                        <w:bottom w:val="none" w:sz="0" w:space="0" w:color="auto"/>
                        <w:right w:val="none" w:sz="0" w:space="0" w:color="auto"/>
                      </w:divBdr>
                    </w:div>
                  </w:divsChild>
                </w:div>
                <w:div w:id="1260017918">
                  <w:marLeft w:val="0"/>
                  <w:marRight w:val="0"/>
                  <w:marTop w:val="0"/>
                  <w:marBottom w:val="0"/>
                  <w:divBdr>
                    <w:top w:val="none" w:sz="0" w:space="0" w:color="auto"/>
                    <w:left w:val="none" w:sz="0" w:space="0" w:color="auto"/>
                    <w:bottom w:val="none" w:sz="0" w:space="0" w:color="auto"/>
                    <w:right w:val="none" w:sz="0" w:space="0" w:color="auto"/>
                  </w:divBdr>
                  <w:divsChild>
                    <w:div w:id="1511220546">
                      <w:marLeft w:val="0"/>
                      <w:marRight w:val="0"/>
                      <w:marTop w:val="0"/>
                      <w:marBottom w:val="0"/>
                      <w:divBdr>
                        <w:top w:val="none" w:sz="0" w:space="0" w:color="auto"/>
                        <w:left w:val="none" w:sz="0" w:space="0" w:color="auto"/>
                        <w:bottom w:val="none" w:sz="0" w:space="0" w:color="auto"/>
                        <w:right w:val="none" w:sz="0" w:space="0" w:color="auto"/>
                      </w:divBdr>
                    </w:div>
                  </w:divsChild>
                </w:div>
                <w:div w:id="815030025">
                  <w:marLeft w:val="0"/>
                  <w:marRight w:val="0"/>
                  <w:marTop w:val="0"/>
                  <w:marBottom w:val="0"/>
                  <w:divBdr>
                    <w:top w:val="none" w:sz="0" w:space="0" w:color="auto"/>
                    <w:left w:val="none" w:sz="0" w:space="0" w:color="auto"/>
                    <w:bottom w:val="none" w:sz="0" w:space="0" w:color="auto"/>
                    <w:right w:val="none" w:sz="0" w:space="0" w:color="auto"/>
                  </w:divBdr>
                  <w:divsChild>
                    <w:div w:id="571545643">
                      <w:marLeft w:val="0"/>
                      <w:marRight w:val="0"/>
                      <w:marTop w:val="0"/>
                      <w:marBottom w:val="0"/>
                      <w:divBdr>
                        <w:top w:val="none" w:sz="0" w:space="0" w:color="auto"/>
                        <w:left w:val="none" w:sz="0" w:space="0" w:color="auto"/>
                        <w:bottom w:val="none" w:sz="0" w:space="0" w:color="auto"/>
                        <w:right w:val="none" w:sz="0" w:space="0" w:color="auto"/>
                      </w:divBdr>
                    </w:div>
                  </w:divsChild>
                </w:div>
                <w:div w:id="1173762116">
                  <w:marLeft w:val="0"/>
                  <w:marRight w:val="0"/>
                  <w:marTop w:val="0"/>
                  <w:marBottom w:val="0"/>
                  <w:divBdr>
                    <w:top w:val="none" w:sz="0" w:space="0" w:color="auto"/>
                    <w:left w:val="none" w:sz="0" w:space="0" w:color="auto"/>
                    <w:bottom w:val="none" w:sz="0" w:space="0" w:color="auto"/>
                    <w:right w:val="none" w:sz="0" w:space="0" w:color="auto"/>
                  </w:divBdr>
                  <w:divsChild>
                    <w:div w:id="39869802">
                      <w:marLeft w:val="0"/>
                      <w:marRight w:val="0"/>
                      <w:marTop w:val="0"/>
                      <w:marBottom w:val="0"/>
                      <w:divBdr>
                        <w:top w:val="none" w:sz="0" w:space="0" w:color="auto"/>
                        <w:left w:val="none" w:sz="0" w:space="0" w:color="auto"/>
                        <w:bottom w:val="none" w:sz="0" w:space="0" w:color="auto"/>
                        <w:right w:val="none" w:sz="0" w:space="0" w:color="auto"/>
                      </w:divBdr>
                    </w:div>
                  </w:divsChild>
                </w:div>
                <w:div w:id="348872233">
                  <w:marLeft w:val="0"/>
                  <w:marRight w:val="0"/>
                  <w:marTop w:val="0"/>
                  <w:marBottom w:val="0"/>
                  <w:divBdr>
                    <w:top w:val="none" w:sz="0" w:space="0" w:color="auto"/>
                    <w:left w:val="none" w:sz="0" w:space="0" w:color="auto"/>
                    <w:bottom w:val="none" w:sz="0" w:space="0" w:color="auto"/>
                    <w:right w:val="none" w:sz="0" w:space="0" w:color="auto"/>
                  </w:divBdr>
                  <w:divsChild>
                    <w:div w:id="621035979">
                      <w:marLeft w:val="0"/>
                      <w:marRight w:val="0"/>
                      <w:marTop w:val="0"/>
                      <w:marBottom w:val="0"/>
                      <w:divBdr>
                        <w:top w:val="none" w:sz="0" w:space="0" w:color="auto"/>
                        <w:left w:val="none" w:sz="0" w:space="0" w:color="auto"/>
                        <w:bottom w:val="none" w:sz="0" w:space="0" w:color="auto"/>
                        <w:right w:val="none" w:sz="0" w:space="0" w:color="auto"/>
                      </w:divBdr>
                    </w:div>
                  </w:divsChild>
                </w:div>
                <w:div w:id="2044406563">
                  <w:marLeft w:val="0"/>
                  <w:marRight w:val="0"/>
                  <w:marTop w:val="0"/>
                  <w:marBottom w:val="0"/>
                  <w:divBdr>
                    <w:top w:val="none" w:sz="0" w:space="0" w:color="auto"/>
                    <w:left w:val="none" w:sz="0" w:space="0" w:color="auto"/>
                    <w:bottom w:val="none" w:sz="0" w:space="0" w:color="auto"/>
                    <w:right w:val="none" w:sz="0" w:space="0" w:color="auto"/>
                  </w:divBdr>
                  <w:divsChild>
                    <w:div w:id="1896769203">
                      <w:marLeft w:val="0"/>
                      <w:marRight w:val="0"/>
                      <w:marTop w:val="0"/>
                      <w:marBottom w:val="0"/>
                      <w:divBdr>
                        <w:top w:val="none" w:sz="0" w:space="0" w:color="auto"/>
                        <w:left w:val="none" w:sz="0" w:space="0" w:color="auto"/>
                        <w:bottom w:val="none" w:sz="0" w:space="0" w:color="auto"/>
                        <w:right w:val="none" w:sz="0" w:space="0" w:color="auto"/>
                      </w:divBdr>
                    </w:div>
                  </w:divsChild>
                </w:div>
                <w:div w:id="354691921">
                  <w:marLeft w:val="0"/>
                  <w:marRight w:val="0"/>
                  <w:marTop w:val="0"/>
                  <w:marBottom w:val="0"/>
                  <w:divBdr>
                    <w:top w:val="none" w:sz="0" w:space="0" w:color="auto"/>
                    <w:left w:val="none" w:sz="0" w:space="0" w:color="auto"/>
                    <w:bottom w:val="none" w:sz="0" w:space="0" w:color="auto"/>
                    <w:right w:val="none" w:sz="0" w:space="0" w:color="auto"/>
                  </w:divBdr>
                  <w:divsChild>
                    <w:div w:id="1959217968">
                      <w:marLeft w:val="0"/>
                      <w:marRight w:val="0"/>
                      <w:marTop w:val="0"/>
                      <w:marBottom w:val="0"/>
                      <w:divBdr>
                        <w:top w:val="none" w:sz="0" w:space="0" w:color="auto"/>
                        <w:left w:val="none" w:sz="0" w:space="0" w:color="auto"/>
                        <w:bottom w:val="none" w:sz="0" w:space="0" w:color="auto"/>
                        <w:right w:val="none" w:sz="0" w:space="0" w:color="auto"/>
                      </w:divBdr>
                    </w:div>
                  </w:divsChild>
                </w:div>
                <w:div w:id="763451486">
                  <w:marLeft w:val="0"/>
                  <w:marRight w:val="0"/>
                  <w:marTop w:val="0"/>
                  <w:marBottom w:val="0"/>
                  <w:divBdr>
                    <w:top w:val="none" w:sz="0" w:space="0" w:color="auto"/>
                    <w:left w:val="none" w:sz="0" w:space="0" w:color="auto"/>
                    <w:bottom w:val="none" w:sz="0" w:space="0" w:color="auto"/>
                    <w:right w:val="none" w:sz="0" w:space="0" w:color="auto"/>
                  </w:divBdr>
                  <w:divsChild>
                    <w:div w:id="1388140381">
                      <w:marLeft w:val="0"/>
                      <w:marRight w:val="0"/>
                      <w:marTop w:val="0"/>
                      <w:marBottom w:val="0"/>
                      <w:divBdr>
                        <w:top w:val="none" w:sz="0" w:space="0" w:color="auto"/>
                        <w:left w:val="none" w:sz="0" w:space="0" w:color="auto"/>
                        <w:bottom w:val="none" w:sz="0" w:space="0" w:color="auto"/>
                        <w:right w:val="none" w:sz="0" w:space="0" w:color="auto"/>
                      </w:divBdr>
                    </w:div>
                  </w:divsChild>
                </w:div>
                <w:div w:id="326251240">
                  <w:marLeft w:val="0"/>
                  <w:marRight w:val="0"/>
                  <w:marTop w:val="0"/>
                  <w:marBottom w:val="0"/>
                  <w:divBdr>
                    <w:top w:val="none" w:sz="0" w:space="0" w:color="auto"/>
                    <w:left w:val="none" w:sz="0" w:space="0" w:color="auto"/>
                    <w:bottom w:val="none" w:sz="0" w:space="0" w:color="auto"/>
                    <w:right w:val="none" w:sz="0" w:space="0" w:color="auto"/>
                  </w:divBdr>
                  <w:divsChild>
                    <w:div w:id="555314381">
                      <w:marLeft w:val="0"/>
                      <w:marRight w:val="0"/>
                      <w:marTop w:val="0"/>
                      <w:marBottom w:val="0"/>
                      <w:divBdr>
                        <w:top w:val="none" w:sz="0" w:space="0" w:color="auto"/>
                        <w:left w:val="none" w:sz="0" w:space="0" w:color="auto"/>
                        <w:bottom w:val="none" w:sz="0" w:space="0" w:color="auto"/>
                        <w:right w:val="none" w:sz="0" w:space="0" w:color="auto"/>
                      </w:divBdr>
                    </w:div>
                  </w:divsChild>
                </w:div>
                <w:div w:id="99187358">
                  <w:marLeft w:val="0"/>
                  <w:marRight w:val="0"/>
                  <w:marTop w:val="0"/>
                  <w:marBottom w:val="0"/>
                  <w:divBdr>
                    <w:top w:val="none" w:sz="0" w:space="0" w:color="auto"/>
                    <w:left w:val="none" w:sz="0" w:space="0" w:color="auto"/>
                    <w:bottom w:val="none" w:sz="0" w:space="0" w:color="auto"/>
                    <w:right w:val="none" w:sz="0" w:space="0" w:color="auto"/>
                  </w:divBdr>
                  <w:divsChild>
                    <w:div w:id="143204151">
                      <w:marLeft w:val="0"/>
                      <w:marRight w:val="0"/>
                      <w:marTop w:val="0"/>
                      <w:marBottom w:val="0"/>
                      <w:divBdr>
                        <w:top w:val="none" w:sz="0" w:space="0" w:color="auto"/>
                        <w:left w:val="none" w:sz="0" w:space="0" w:color="auto"/>
                        <w:bottom w:val="none" w:sz="0" w:space="0" w:color="auto"/>
                        <w:right w:val="none" w:sz="0" w:space="0" w:color="auto"/>
                      </w:divBdr>
                    </w:div>
                  </w:divsChild>
                </w:div>
                <w:div w:id="749233523">
                  <w:marLeft w:val="0"/>
                  <w:marRight w:val="0"/>
                  <w:marTop w:val="0"/>
                  <w:marBottom w:val="0"/>
                  <w:divBdr>
                    <w:top w:val="none" w:sz="0" w:space="0" w:color="auto"/>
                    <w:left w:val="none" w:sz="0" w:space="0" w:color="auto"/>
                    <w:bottom w:val="none" w:sz="0" w:space="0" w:color="auto"/>
                    <w:right w:val="none" w:sz="0" w:space="0" w:color="auto"/>
                  </w:divBdr>
                  <w:divsChild>
                    <w:div w:id="883367896">
                      <w:marLeft w:val="0"/>
                      <w:marRight w:val="0"/>
                      <w:marTop w:val="0"/>
                      <w:marBottom w:val="0"/>
                      <w:divBdr>
                        <w:top w:val="none" w:sz="0" w:space="0" w:color="auto"/>
                        <w:left w:val="none" w:sz="0" w:space="0" w:color="auto"/>
                        <w:bottom w:val="none" w:sz="0" w:space="0" w:color="auto"/>
                        <w:right w:val="none" w:sz="0" w:space="0" w:color="auto"/>
                      </w:divBdr>
                    </w:div>
                  </w:divsChild>
                </w:div>
                <w:div w:id="1287395025">
                  <w:marLeft w:val="0"/>
                  <w:marRight w:val="0"/>
                  <w:marTop w:val="0"/>
                  <w:marBottom w:val="0"/>
                  <w:divBdr>
                    <w:top w:val="none" w:sz="0" w:space="0" w:color="auto"/>
                    <w:left w:val="none" w:sz="0" w:space="0" w:color="auto"/>
                    <w:bottom w:val="none" w:sz="0" w:space="0" w:color="auto"/>
                    <w:right w:val="none" w:sz="0" w:space="0" w:color="auto"/>
                  </w:divBdr>
                  <w:divsChild>
                    <w:div w:id="133647484">
                      <w:marLeft w:val="0"/>
                      <w:marRight w:val="0"/>
                      <w:marTop w:val="0"/>
                      <w:marBottom w:val="0"/>
                      <w:divBdr>
                        <w:top w:val="none" w:sz="0" w:space="0" w:color="auto"/>
                        <w:left w:val="none" w:sz="0" w:space="0" w:color="auto"/>
                        <w:bottom w:val="none" w:sz="0" w:space="0" w:color="auto"/>
                        <w:right w:val="none" w:sz="0" w:space="0" w:color="auto"/>
                      </w:divBdr>
                    </w:div>
                  </w:divsChild>
                </w:div>
                <w:div w:id="820272822">
                  <w:marLeft w:val="0"/>
                  <w:marRight w:val="0"/>
                  <w:marTop w:val="0"/>
                  <w:marBottom w:val="0"/>
                  <w:divBdr>
                    <w:top w:val="none" w:sz="0" w:space="0" w:color="auto"/>
                    <w:left w:val="none" w:sz="0" w:space="0" w:color="auto"/>
                    <w:bottom w:val="none" w:sz="0" w:space="0" w:color="auto"/>
                    <w:right w:val="none" w:sz="0" w:space="0" w:color="auto"/>
                  </w:divBdr>
                  <w:divsChild>
                    <w:div w:id="1849439560">
                      <w:marLeft w:val="0"/>
                      <w:marRight w:val="0"/>
                      <w:marTop w:val="0"/>
                      <w:marBottom w:val="0"/>
                      <w:divBdr>
                        <w:top w:val="none" w:sz="0" w:space="0" w:color="auto"/>
                        <w:left w:val="none" w:sz="0" w:space="0" w:color="auto"/>
                        <w:bottom w:val="none" w:sz="0" w:space="0" w:color="auto"/>
                        <w:right w:val="none" w:sz="0" w:space="0" w:color="auto"/>
                      </w:divBdr>
                    </w:div>
                  </w:divsChild>
                </w:div>
                <w:div w:id="400107399">
                  <w:marLeft w:val="0"/>
                  <w:marRight w:val="0"/>
                  <w:marTop w:val="0"/>
                  <w:marBottom w:val="0"/>
                  <w:divBdr>
                    <w:top w:val="none" w:sz="0" w:space="0" w:color="auto"/>
                    <w:left w:val="none" w:sz="0" w:space="0" w:color="auto"/>
                    <w:bottom w:val="none" w:sz="0" w:space="0" w:color="auto"/>
                    <w:right w:val="none" w:sz="0" w:space="0" w:color="auto"/>
                  </w:divBdr>
                  <w:divsChild>
                    <w:div w:id="556937860">
                      <w:marLeft w:val="0"/>
                      <w:marRight w:val="0"/>
                      <w:marTop w:val="0"/>
                      <w:marBottom w:val="0"/>
                      <w:divBdr>
                        <w:top w:val="none" w:sz="0" w:space="0" w:color="auto"/>
                        <w:left w:val="none" w:sz="0" w:space="0" w:color="auto"/>
                        <w:bottom w:val="none" w:sz="0" w:space="0" w:color="auto"/>
                        <w:right w:val="none" w:sz="0" w:space="0" w:color="auto"/>
                      </w:divBdr>
                    </w:div>
                  </w:divsChild>
                </w:div>
                <w:div w:id="1348099670">
                  <w:marLeft w:val="0"/>
                  <w:marRight w:val="0"/>
                  <w:marTop w:val="0"/>
                  <w:marBottom w:val="0"/>
                  <w:divBdr>
                    <w:top w:val="none" w:sz="0" w:space="0" w:color="auto"/>
                    <w:left w:val="none" w:sz="0" w:space="0" w:color="auto"/>
                    <w:bottom w:val="none" w:sz="0" w:space="0" w:color="auto"/>
                    <w:right w:val="none" w:sz="0" w:space="0" w:color="auto"/>
                  </w:divBdr>
                  <w:divsChild>
                    <w:div w:id="173613961">
                      <w:marLeft w:val="0"/>
                      <w:marRight w:val="0"/>
                      <w:marTop w:val="0"/>
                      <w:marBottom w:val="0"/>
                      <w:divBdr>
                        <w:top w:val="none" w:sz="0" w:space="0" w:color="auto"/>
                        <w:left w:val="none" w:sz="0" w:space="0" w:color="auto"/>
                        <w:bottom w:val="none" w:sz="0" w:space="0" w:color="auto"/>
                        <w:right w:val="none" w:sz="0" w:space="0" w:color="auto"/>
                      </w:divBdr>
                    </w:div>
                  </w:divsChild>
                </w:div>
                <w:div w:id="41365245">
                  <w:marLeft w:val="0"/>
                  <w:marRight w:val="0"/>
                  <w:marTop w:val="0"/>
                  <w:marBottom w:val="0"/>
                  <w:divBdr>
                    <w:top w:val="none" w:sz="0" w:space="0" w:color="auto"/>
                    <w:left w:val="none" w:sz="0" w:space="0" w:color="auto"/>
                    <w:bottom w:val="none" w:sz="0" w:space="0" w:color="auto"/>
                    <w:right w:val="none" w:sz="0" w:space="0" w:color="auto"/>
                  </w:divBdr>
                  <w:divsChild>
                    <w:div w:id="910968964">
                      <w:marLeft w:val="0"/>
                      <w:marRight w:val="0"/>
                      <w:marTop w:val="0"/>
                      <w:marBottom w:val="0"/>
                      <w:divBdr>
                        <w:top w:val="none" w:sz="0" w:space="0" w:color="auto"/>
                        <w:left w:val="none" w:sz="0" w:space="0" w:color="auto"/>
                        <w:bottom w:val="none" w:sz="0" w:space="0" w:color="auto"/>
                        <w:right w:val="none" w:sz="0" w:space="0" w:color="auto"/>
                      </w:divBdr>
                    </w:div>
                  </w:divsChild>
                </w:div>
                <w:div w:id="1919516454">
                  <w:marLeft w:val="0"/>
                  <w:marRight w:val="0"/>
                  <w:marTop w:val="0"/>
                  <w:marBottom w:val="0"/>
                  <w:divBdr>
                    <w:top w:val="none" w:sz="0" w:space="0" w:color="auto"/>
                    <w:left w:val="none" w:sz="0" w:space="0" w:color="auto"/>
                    <w:bottom w:val="none" w:sz="0" w:space="0" w:color="auto"/>
                    <w:right w:val="none" w:sz="0" w:space="0" w:color="auto"/>
                  </w:divBdr>
                  <w:divsChild>
                    <w:div w:id="620377425">
                      <w:marLeft w:val="0"/>
                      <w:marRight w:val="0"/>
                      <w:marTop w:val="0"/>
                      <w:marBottom w:val="0"/>
                      <w:divBdr>
                        <w:top w:val="none" w:sz="0" w:space="0" w:color="auto"/>
                        <w:left w:val="none" w:sz="0" w:space="0" w:color="auto"/>
                        <w:bottom w:val="none" w:sz="0" w:space="0" w:color="auto"/>
                        <w:right w:val="none" w:sz="0" w:space="0" w:color="auto"/>
                      </w:divBdr>
                    </w:div>
                  </w:divsChild>
                </w:div>
                <w:div w:id="2140147647">
                  <w:marLeft w:val="0"/>
                  <w:marRight w:val="0"/>
                  <w:marTop w:val="0"/>
                  <w:marBottom w:val="0"/>
                  <w:divBdr>
                    <w:top w:val="none" w:sz="0" w:space="0" w:color="auto"/>
                    <w:left w:val="none" w:sz="0" w:space="0" w:color="auto"/>
                    <w:bottom w:val="none" w:sz="0" w:space="0" w:color="auto"/>
                    <w:right w:val="none" w:sz="0" w:space="0" w:color="auto"/>
                  </w:divBdr>
                  <w:divsChild>
                    <w:div w:id="311446823">
                      <w:marLeft w:val="0"/>
                      <w:marRight w:val="0"/>
                      <w:marTop w:val="0"/>
                      <w:marBottom w:val="0"/>
                      <w:divBdr>
                        <w:top w:val="none" w:sz="0" w:space="0" w:color="auto"/>
                        <w:left w:val="none" w:sz="0" w:space="0" w:color="auto"/>
                        <w:bottom w:val="none" w:sz="0" w:space="0" w:color="auto"/>
                        <w:right w:val="none" w:sz="0" w:space="0" w:color="auto"/>
                      </w:divBdr>
                    </w:div>
                  </w:divsChild>
                </w:div>
                <w:div w:id="1919360382">
                  <w:marLeft w:val="0"/>
                  <w:marRight w:val="0"/>
                  <w:marTop w:val="0"/>
                  <w:marBottom w:val="0"/>
                  <w:divBdr>
                    <w:top w:val="none" w:sz="0" w:space="0" w:color="auto"/>
                    <w:left w:val="none" w:sz="0" w:space="0" w:color="auto"/>
                    <w:bottom w:val="none" w:sz="0" w:space="0" w:color="auto"/>
                    <w:right w:val="none" w:sz="0" w:space="0" w:color="auto"/>
                  </w:divBdr>
                  <w:divsChild>
                    <w:div w:id="824973607">
                      <w:marLeft w:val="0"/>
                      <w:marRight w:val="0"/>
                      <w:marTop w:val="0"/>
                      <w:marBottom w:val="0"/>
                      <w:divBdr>
                        <w:top w:val="none" w:sz="0" w:space="0" w:color="auto"/>
                        <w:left w:val="none" w:sz="0" w:space="0" w:color="auto"/>
                        <w:bottom w:val="none" w:sz="0" w:space="0" w:color="auto"/>
                        <w:right w:val="none" w:sz="0" w:space="0" w:color="auto"/>
                      </w:divBdr>
                    </w:div>
                  </w:divsChild>
                </w:div>
                <w:div w:id="372728924">
                  <w:marLeft w:val="0"/>
                  <w:marRight w:val="0"/>
                  <w:marTop w:val="0"/>
                  <w:marBottom w:val="0"/>
                  <w:divBdr>
                    <w:top w:val="none" w:sz="0" w:space="0" w:color="auto"/>
                    <w:left w:val="none" w:sz="0" w:space="0" w:color="auto"/>
                    <w:bottom w:val="none" w:sz="0" w:space="0" w:color="auto"/>
                    <w:right w:val="none" w:sz="0" w:space="0" w:color="auto"/>
                  </w:divBdr>
                  <w:divsChild>
                    <w:div w:id="227108084">
                      <w:marLeft w:val="0"/>
                      <w:marRight w:val="0"/>
                      <w:marTop w:val="0"/>
                      <w:marBottom w:val="0"/>
                      <w:divBdr>
                        <w:top w:val="none" w:sz="0" w:space="0" w:color="auto"/>
                        <w:left w:val="none" w:sz="0" w:space="0" w:color="auto"/>
                        <w:bottom w:val="none" w:sz="0" w:space="0" w:color="auto"/>
                        <w:right w:val="none" w:sz="0" w:space="0" w:color="auto"/>
                      </w:divBdr>
                    </w:div>
                  </w:divsChild>
                </w:div>
                <w:div w:id="620114563">
                  <w:marLeft w:val="0"/>
                  <w:marRight w:val="0"/>
                  <w:marTop w:val="0"/>
                  <w:marBottom w:val="0"/>
                  <w:divBdr>
                    <w:top w:val="none" w:sz="0" w:space="0" w:color="auto"/>
                    <w:left w:val="none" w:sz="0" w:space="0" w:color="auto"/>
                    <w:bottom w:val="none" w:sz="0" w:space="0" w:color="auto"/>
                    <w:right w:val="none" w:sz="0" w:space="0" w:color="auto"/>
                  </w:divBdr>
                  <w:divsChild>
                    <w:div w:id="1059520533">
                      <w:marLeft w:val="0"/>
                      <w:marRight w:val="0"/>
                      <w:marTop w:val="0"/>
                      <w:marBottom w:val="0"/>
                      <w:divBdr>
                        <w:top w:val="none" w:sz="0" w:space="0" w:color="auto"/>
                        <w:left w:val="none" w:sz="0" w:space="0" w:color="auto"/>
                        <w:bottom w:val="none" w:sz="0" w:space="0" w:color="auto"/>
                        <w:right w:val="none" w:sz="0" w:space="0" w:color="auto"/>
                      </w:divBdr>
                    </w:div>
                  </w:divsChild>
                </w:div>
                <w:div w:id="493882455">
                  <w:marLeft w:val="0"/>
                  <w:marRight w:val="0"/>
                  <w:marTop w:val="0"/>
                  <w:marBottom w:val="0"/>
                  <w:divBdr>
                    <w:top w:val="none" w:sz="0" w:space="0" w:color="auto"/>
                    <w:left w:val="none" w:sz="0" w:space="0" w:color="auto"/>
                    <w:bottom w:val="none" w:sz="0" w:space="0" w:color="auto"/>
                    <w:right w:val="none" w:sz="0" w:space="0" w:color="auto"/>
                  </w:divBdr>
                  <w:divsChild>
                    <w:div w:id="1922566535">
                      <w:marLeft w:val="0"/>
                      <w:marRight w:val="0"/>
                      <w:marTop w:val="0"/>
                      <w:marBottom w:val="0"/>
                      <w:divBdr>
                        <w:top w:val="none" w:sz="0" w:space="0" w:color="auto"/>
                        <w:left w:val="none" w:sz="0" w:space="0" w:color="auto"/>
                        <w:bottom w:val="none" w:sz="0" w:space="0" w:color="auto"/>
                        <w:right w:val="none" w:sz="0" w:space="0" w:color="auto"/>
                      </w:divBdr>
                    </w:div>
                  </w:divsChild>
                </w:div>
                <w:div w:id="1073162013">
                  <w:marLeft w:val="0"/>
                  <w:marRight w:val="0"/>
                  <w:marTop w:val="0"/>
                  <w:marBottom w:val="0"/>
                  <w:divBdr>
                    <w:top w:val="none" w:sz="0" w:space="0" w:color="auto"/>
                    <w:left w:val="none" w:sz="0" w:space="0" w:color="auto"/>
                    <w:bottom w:val="none" w:sz="0" w:space="0" w:color="auto"/>
                    <w:right w:val="none" w:sz="0" w:space="0" w:color="auto"/>
                  </w:divBdr>
                  <w:divsChild>
                    <w:div w:id="71466375">
                      <w:marLeft w:val="0"/>
                      <w:marRight w:val="0"/>
                      <w:marTop w:val="0"/>
                      <w:marBottom w:val="0"/>
                      <w:divBdr>
                        <w:top w:val="none" w:sz="0" w:space="0" w:color="auto"/>
                        <w:left w:val="none" w:sz="0" w:space="0" w:color="auto"/>
                        <w:bottom w:val="none" w:sz="0" w:space="0" w:color="auto"/>
                        <w:right w:val="none" w:sz="0" w:space="0" w:color="auto"/>
                      </w:divBdr>
                    </w:div>
                  </w:divsChild>
                </w:div>
                <w:div w:id="1250430941">
                  <w:marLeft w:val="0"/>
                  <w:marRight w:val="0"/>
                  <w:marTop w:val="0"/>
                  <w:marBottom w:val="0"/>
                  <w:divBdr>
                    <w:top w:val="none" w:sz="0" w:space="0" w:color="auto"/>
                    <w:left w:val="none" w:sz="0" w:space="0" w:color="auto"/>
                    <w:bottom w:val="none" w:sz="0" w:space="0" w:color="auto"/>
                    <w:right w:val="none" w:sz="0" w:space="0" w:color="auto"/>
                  </w:divBdr>
                  <w:divsChild>
                    <w:div w:id="536699723">
                      <w:marLeft w:val="0"/>
                      <w:marRight w:val="0"/>
                      <w:marTop w:val="0"/>
                      <w:marBottom w:val="0"/>
                      <w:divBdr>
                        <w:top w:val="none" w:sz="0" w:space="0" w:color="auto"/>
                        <w:left w:val="none" w:sz="0" w:space="0" w:color="auto"/>
                        <w:bottom w:val="none" w:sz="0" w:space="0" w:color="auto"/>
                        <w:right w:val="none" w:sz="0" w:space="0" w:color="auto"/>
                      </w:divBdr>
                    </w:div>
                  </w:divsChild>
                </w:div>
                <w:div w:id="2064088911">
                  <w:marLeft w:val="0"/>
                  <w:marRight w:val="0"/>
                  <w:marTop w:val="0"/>
                  <w:marBottom w:val="0"/>
                  <w:divBdr>
                    <w:top w:val="none" w:sz="0" w:space="0" w:color="auto"/>
                    <w:left w:val="none" w:sz="0" w:space="0" w:color="auto"/>
                    <w:bottom w:val="none" w:sz="0" w:space="0" w:color="auto"/>
                    <w:right w:val="none" w:sz="0" w:space="0" w:color="auto"/>
                  </w:divBdr>
                  <w:divsChild>
                    <w:div w:id="730470531">
                      <w:marLeft w:val="0"/>
                      <w:marRight w:val="0"/>
                      <w:marTop w:val="0"/>
                      <w:marBottom w:val="0"/>
                      <w:divBdr>
                        <w:top w:val="none" w:sz="0" w:space="0" w:color="auto"/>
                        <w:left w:val="none" w:sz="0" w:space="0" w:color="auto"/>
                        <w:bottom w:val="none" w:sz="0" w:space="0" w:color="auto"/>
                        <w:right w:val="none" w:sz="0" w:space="0" w:color="auto"/>
                      </w:divBdr>
                    </w:div>
                  </w:divsChild>
                </w:div>
                <w:div w:id="128985319">
                  <w:marLeft w:val="0"/>
                  <w:marRight w:val="0"/>
                  <w:marTop w:val="0"/>
                  <w:marBottom w:val="0"/>
                  <w:divBdr>
                    <w:top w:val="none" w:sz="0" w:space="0" w:color="auto"/>
                    <w:left w:val="none" w:sz="0" w:space="0" w:color="auto"/>
                    <w:bottom w:val="none" w:sz="0" w:space="0" w:color="auto"/>
                    <w:right w:val="none" w:sz="0" w:space="0" w:color="auto"/>
                  </w:divBdr>
                  <w:divsChild>
                    <w:div w:id="447047073">
                      <w:marLeft w:val="0"/>
                      <w:marRight w:val="0"/>
                      <w:marTop w:val="0"/>
                      <w:marBottom w:val="0"/>
                      <w:divBdr>
                        <w:top w:val="none" w:sz="0" w:space="0" w:color="auto"/>
                        <w:left w:val="none" w:sz="0" w:space="0" w:color="auto"/>
                        <w:bottom w:val="none" w:sz="0" w:space="0" w:color="auto"/>
                        <w:right w:val="none" w:sz="0" w:space="0" w:color="auto"/>
                      </w:divBdr>
                    </w:div>
                  </w:divsChild>
                </w:div>
                <w:div w:id="1222443598">
                  <w:marLeft w:val="0"/>
                  <w:marRight w:val="0"/>
                  <w:marTop w:val="0"/>
                  <w:marBottom w:val="0"/>
                  <w:divBdr>
                    <w:top w:val="none" w:sz="0" w:space="0" w:color="auto"/>
                    <w:left w:val="none" w:sz="0" w:space="0" w:color="auto"/>
                    <w:bottom w:val="none" w:sz="0" w:space="0" w:color="auto"/>
                    <w:right w:val="none" w:sz="0" w:space="0" w:color="auto"/>
                  </w:divBdr>
                  <w:divsChild>
                    <w:div w:id="767966698">
                      <w:marLeft w:val="0"/>
                      <w:marRight w:val="0"/>
                      <w:marTop w:val="0"/>
                      <w:marBottom w:val="0"/>
                      <w:divBdr>
                        <w:top w:val="none" w:sz="0" w:space="0" w:color="auto"/>
                        <w:left w:val="none" w:sz="0" w:space="0" w:color="auto"/>
                        <w:bottom w:val="none" w:sz="0" w:space="0" w:color="auto"/>
                        <w:right w:val="none" w:sz="0" w:space="0" w:color="auto"/>
                      </w:divBdr>
                    </w:div>
                  </w:divsChild>
                </w:div>
                <w:div w:id="21126482">
                  <w:marLeft w:val="0"/>
                  <w:marRight w:val="0"/>
                  <w:marTop w:val="0"/>
                  <w:marBottom w:val="0"/>
                  <w:divBdr>
                    <w:top w:val="none" w:sz="0" w:space="0" w:color="auto"/>
                    <w:left w:val="none" w:sz="0" w:space="0" w:color="auto"/>
                    <w:bottom w:val="none" w:sz="0" w:space="0" w:color="auto"/>
                    <w:right w:val="none" w:sz="0" w:space="0" w:color="auto"/>
                  </w:divBdr>
                  <w:divsChild>
                    <w:div w:id="1795053934">
                      <w:marLeft w:val="0"/>
                      <w:marRight w:val="0"/>
                      <w:marTop w:val="0"/>
                      <w:marBottom w:val="0"/>
                      <w:divBdr>
                        <w:top w:val="none" w:sz="0" w:space="0" w:color="auto"/>
                        <w:left w:val="none" w:sz="0" w:space="0" w:color="auto"/>
                        <w:bottom w:val="none" w:sz="0" w:space="0" w:color="auto"/>
                        <w:right w:val="none" w:sz="0" w:space="0" w:color="auto"/>
                      </w:divBdr>
                    </w:div>
                  </w:divsChild>
                </w:div>
                <w:div w:id="1461076011">
                  <w:marLeft w:val="0"/>
                  <w:marRight w:val="0"/>
                  <w:marTop w:val="0"/>
                  <w:marBottom w:val="0"/>
                  <w:divBdr>
                    <w:top w:val="none" w:sz="0" w:space="0" w:color="auto"/>
                    <w:left w:val="none" w:sz="0" w:space="0" w:color="auto"/>
                    <w:bottom w:val="none" w:sz="0" w:space="0" w:color="auto"/>
                    <w:right w:val="none" w:sz="0" w:space="0" w:color="auto"/>
                  </w:divBdr>
                  <w:divsChild>
                    <w:div w:id="1165583820">
                      <w:marLeft w:val="0"/>
                      <w:marRight w:val="0"/>
                      <w:marTop w:val="0"/>
                      <w:marBottom w:val="0"/>
                      <w:divBdr>
                        <w:top w:val="none" w:sz="0" w:space="0" w:color="auto"/>
                        <w:left w:val="none" w:sz="0" w:space="0" w:color="auto"/>
                        <w:bottom w:val="none" w:sz="0" w:space="0" w:color="auto"/>
                        <w:right w:val="none" w:sz="0" w:space="0" w:color="auto"/>
                      </w:divBdr>
                    </w:div>
                  </w:divsChild>
                </w:div>
                <w:div w:id="2042700717">
                  <w:marLeft w:val="0"/>
                  <w:marRight w:val="0"/>
                  <w:marTop w:val="0"/>
                  <w:marBottom w:val="0"/>
                  <w:divBdr>
                    <w:top w:val="none" w:sz="0" w:space="0" w:color="auto"/>
                    <w:left w:val="none" w:sz="0" w:space="0" w:color="auto"/>
                    <w:bottom w:val="none" w:sz="0" w:space="0" w:color="auto"/>
                    <w:right w:val="none" w:sz="0" w:space="0" w:color="auto"/>
                  </w:divBdr>
                  <w:divsChild>
                    <w:div w:id="1428110900">
                      <w:marLeft w:val="0"/>
                      <w:marRight w:val="0"/>
                      <w:marTop w:val="0"/>
                      <w:marBottom w:val="0"/>
                      <w:divBdr>
                        <w:top w:val="none" w:sz="0" w:space="0" w:color="auto"/>
                        <w:left w:val="none" w:sz="0" w:space="0" w:color="auto"/>
                        <w:bottom w:val="none" w:sz="0" w:space="0" w:color="auto"/>
                        <w:right w:val="none" w:sz="0" w:space="0" w:color="auto"/>
                      </w:divBdr>
                    </w:div>
                  </w:divsChild>
                </w:div>
                <w:div w:id="1704935263">
                  <w:marLeft w:val="0"/>
                  <w:marRight w:val="0"/>
                  <w:marTop w:val="0"/>
                  <w:marBottom w:val="0"/>
                  <w:divBdr>
                    <w:top w:val="none" w:sz="0" w:space="0" w:color="auto"/>
                    <w:left w:val="none" w:sz="0" w:space="0" w:color="auto"/>
                    <w:bottom w:val="none" w:sz="0" w:space="0" w:color="auto"/>
                    <w:right w:val="none" w:sz="0" w:space="0" w:color="auto"/>
                  </w:divBdr>
                  <w:divsChild>
                    <w:div w:id="952783643">
                      <w:marLeft w:val="0"/>
                      <w:marRight w:val="0"/>
                      <w:marTop w:val="0"/>
                      <w:marBottom w:val="0"/>
                      <w:divBdr>
                        <w:top w:val="none" w:sz="0" w:space="0" w:color="auto"/>
                        <w:left w:val="none" w:sz="0" w:space="0" w:color="auto"/>
                        <w:bottom w:val="none" w:sz="0" w:space="0" w:color="auto"/>
                        <w:right w:val="none" w:sz="0" w:space="0" w:color="auto"/>
                      </w:divBdr>
                    </w:div>
                  </w:divsChild>
                </w:div>
                <w:div w:id="744692549">
                  <w:marLeft w:val="0"/>
                  <w:marRight w:val="0"/>
                  <w:marTop w:val="0"/>
                  <w:marBottom w:val="0"/>
                  <w:divBdr>
                    <w:top w:val="none" w:sz="0" w:space="0" w:color="auto"/>
                    <w:left w:val="none" w:sz="0" w:space="0" w:color="auto"/>
                    <w:bottom w:val="none" w:sz="0" w:space="0" w:color="auto"/>
                    <w:right w:val="none" w:sz="0" w:space="0" w:color="auto"/>
                  </w:divBdr>
                  <w:divsChild>
                    <w:div w:id="1280792707">
                      <w:marLeft w:val="0"/>
                      <w:marRight w:val="0"/>
                      <w:marTop w:val="0"/>
                      <w:marBottom w:val="0"/>
                      <w:divBdr>
                        <w:top w:val="none" w:sz="0" w:space="0" w:color="auto"/>
                        <w:left w:val="none" w:sz="0" w:space="0" w:color="auto"/>
                        <w:bottom w:val="none" w:sz="0" w:space="0" w:color="auto"/>
                        <w:right w:val="none" w:sz="0" w:space="0" w:color="auto"/>
                      </w:divBdr>
                    </w:div>
                  </w:divsChild>
                </w:div>
                <w:div w:id="81146965">
                  <w:marLeft w:val="0"/>
                  <w:marRight w:val="0"/>
                  <w:marTop w:val="0"/>
                  <w:marBottom w:val="0"/>
                  <w:divBdr>
                    <w:top w:val="none" w:sz="0" w:space="0" w:color="auto"/>
                    <w:left w:val="none" w:sz="0" w:space="0" w:color="auto"/>
                    <w:bottom w:val="none" w:sz="0" w:space="0" w:color="auto"/>
                    <w:right w:val="none" w:sz="0" w:space="0" w:color="auto"/>
                  </w:divBdr>
                  <w:divsChild>
                    <w:div w:id="809320930">
                      <w:marLeft w:val="0"/>
                      <w:marRight w:val="0"/>
                      <w:marTop w:val="0"/>
                      <w:marBottom w:val="0"/>
                      <w:divBdr>
                        <w:top w:val="none" w:sz="0" w:space="0" w:color="auto"/>
                        <w:left w:val="none" w:sz="0" w:space="0" w:color="auto"/>
                        <w:bottom w:val="none" w:sz="0" w:space="0" w:color="auto"/>
                        <w:right w:val="none" w:sz="0" w:space="0" w:color="auto"/>
                      </w:divBdr>
                    </w:div>
                  </w:divsChild>
                </w:div>
                <w:div w:id="2144153602">
                  <w:marLeft w:val="0"/>
                  <w:marRight w:val="0"/>
                  <w:marTop w:val="0"/>
                  <w:marBottom w:val="0"/>
                  <w:divBdr>
                    <w:top w:val="none" w:sz="0" w:space="0" w:color="auto"/>
                    <w:left w:val="none" w:sz="0" w:space="0" w:color="auto"/>
                    <w:bottom w:val="none" w:sz="0" w:space="0" w:color="auto"/>
                    <w:right w:val="none" w:sz="0" w:space="0" w:color="auto"/>
                  </w:divBdr>
                  <w:divsChild>
                    <w:div w:id="729351238">
                      <w:marLeft w:val="0"/>
                      <w:marRight w:val="0"/>
                      <w:marTop w:val="0"/>
                      <w:marBottom w:val="0"/>
                      <w:divBdr>
                        <w:top w:val="none" w:sz="0" w:space="0" w:color="auto"/>
                        <w:left w:val="none" w:sz="0" w:space="0" w:color="auto"/>
                        <w:bottom w:val="none" w:sz="0" w:space="0" w:color="auto"/>
                        <w:right w:val="none" w:sz="0" w:space="0" w:color="auto"/>
                      </w:divBdr>
                    </w:div>
                  </w:divsChild>
                </w:div>
                <w:div w:id="1476754872">
                  <w:marLeft w:val="0"/>
                  <w:marRight w:val="0"/>
                  <w:marTop w:val="0"/>
                  <w:marBottom w:val="0"/>
                  <w:divBdr>
                    <w:top w:val="none" w:sz="0" w:space="0" w:color="auto"/>
                    <w:left w:val="none" w:sz="0" w:space="0" w:color="auto"/>
                    <w:bottom w:val="none" w:sz="0" w:space="0" w:color="auto"/>
                    <w:right w:val="none" w:sz="0" w:space="0" w:color="auto"/>
                  </w:divBdr>
                  <w:divsChild>
                    <w:div w:id="1219976287">
                      <w:marLeft w:val="0"/>
                      <w:marRight w:val="0"/>
                      <w:marTop w:val="0"/>
                      <w:marBottom w:val="0"/>
                      <w:divBdr>
                        <w:top w:val="none" w:sz="0" w:space="0" w:color="auto"/>
                        <w:left w:val="none" w:sz="0" w:space="0" w:color="auto"/>
                        <w:bottom w:val="none" w:sz="0" w:space="0" w:color="auto"/>
                        <w:right w:val="none" w:sz="0" w:space="0" w:color="auto"/>
                      </w:divBdr>
                    </w:div>
                  </w:divsChild>
                </w:div>
                <w:div w:id="438378207">
                  <w:marLeft w:val="0"/>
                  <w:marRight w:val="0"/>
                  <w:marTop w:val="0"/>
                  <w:marBottom w:val="0"/>
                  <w:divBdr>
                    <w:top w:val="none" w:sz="0" w:space="0" w:color="auto"/>
                    <w:left w:val="none" w:sz="0" w:space="0" w:color="auto"/>
                    <w:bottom w:val="none" w:sz="0" w:space="0" w:color="auto"/>
                    <w:right w:val="none" w:sz="0" w:space="0" w:color="auto"/>
                  </w:divBdr>
                  <w:divsChild>
                    <w:div w:id="961614089">
                      <w:marLeft w:val="0"/>
                      <w:marRight w:val="0"/>
                      <w:marTop w:val="0"/>
                      <w:marBottom w:val="0"/>
                      <w:divBdr>
                        <w:top w:val="none" w:sz="0" w:space="0" w:color="auto"/>
                        <w:left w:val="none" w:sz="0" w:space="0" w:color="auto"/>
                        <w:bottom w:val="none" w:sz="0" w:space="0" w:color="auto"/>
                        <w:right w:val="none" w:sz="0" w:space="0" w:color="auto"/>
                      </w:divBdr>
                    </w:div>
                  </w:divsChild>
                </w:div>
                <w:div w:id="403138356">
                  <w:marLeft w:val="0"/>
                  <w:marRight w:val="0"/>
                  <w:marTop w:val="0"/>
                  <w:marBottom w:val="0"/>
                  <w:divBdr>
                    <w:top w:val="none" w:sz="0" w:space="0" w:color="auto"/>
                    <w:left w:val="none" w:sz="0" w:space="0" w:color="auto"/>
                    <w:bottom w:val="none" w:sz="0" w:space="0" w:color="auto"/>
                    <w:right w:val="none" w:sz="0" w:space="0" w:color="auto"/>
                  </w:divBdr>
                  <w:divsChild>
                    <w:div w:id="1724863284">
                      <w:marLeft w:val="0"/>
                      <w:marRight w:val="0"/>
                      <w:marTop w:val="0"/>
                      <w:marBottom w:val="0"/>
                      <w:divBdr>
                        <w:top w:val="none" w:sz="0" w:space="0" w:color="auto"/>
                        <w:left w:val="none" w:sz="0" w:space="0" w:color="auto"/>
                        <w:bottom w:val="none" w:sz="0" w:space="0" w:color="auto"/>
                        <w:right w:val="none" w:sz="0" w:space="0" w:color="auto"/>
                      </w:divBdr>
                    </w:div>
                  </w:divsChild>
                </w:div>
                <w:div w:id="242567933">
                  <w:marLeft w:val="0"/>
                  <w:marRight w:val="0"/>
                  <w:marTop w:val="0"/>
                  <w:marBottom w:val="0"/>
                  <w:divBdr>
                    <w:top w:val="none" w:sz="0" w:space="0" w:color="auto"/>
                    <w:left w:val="none" w:sz="0" w:space="0" w:color="auto"/>
                    <w:bottom w:val="none" w:sz="0" w:space="0" w:color="auto"/>
                    <w:right w:val="none" w:sz="0" w:space="0" w:color="auto"/>
                  </w:divBdr>
                  <w:divsChild>
                    <w:div w:id="1693069072">
                      <w:marLeft w:val="0"/>
                      <w:marRight w:val="0"/>
                      <w:marTop w:val="0"/>
                      <w:marBottom w:val="0"/>
                      <w:divBdr>
                        <w:top w:val="none" w:sz="0" w:space="0" w:color="auto"/>
                        <w:left w:val="none" w:sz="0" w:space="0" w:color="auto"/>
                        <w:bottom w:val="none" w:sz="0" w:space="0" w:color="auto"/>
                        <w:right w:val="none" w:sz="0" w:space="0" w:color="auto"/>
                      </w:divBdr>
                    </w:div>
                  </w:divsChild>
                </w:div>
                <w:div w:id="1483547278">
                  <w:marLeft w:val="0"/>
                  <w:marRight w:val="0"/>
                  <w:marTop w:val="0"/>
                  <w:marBottom w:val="0"/>
                  <w:divBdr>
                    <w:top w:val="none" w:sz="0" w:space="0" w:color="auto"/>
                    <w:left w:val="none" w:sz="0" w:space="0" w:color="auto"/>
                    <w:bottom w:val="none" w:sz="0" w:space="0" w:color="auto"/>
                    <w:right w:val="none" w:sz="0" w:space="0" w:color="auto"/>
                  </w:divBdr>
                  <w:divsChild>
                    <w:div w:id="1554270475">
                      <w:marLeft w:val="0"/>
                      <w:marRight w:val="0"/>
                      <w:marTop w:val="0"/>
                      <w:marBottom w:val="0"/>
                      <w:divBdr>
                        <w:top w:val="none" w:sz="0" w:space="0" w:color="auto"/>
                        <w:left w:val="none" w:sz="0" w:space="0" w:color="auto"/>
                        <w:bottom w:val="none" w:sz="0" w:space="0" w:color="auto"/>
                        <w:right w:val="none" w:sz="0" w:space="0" w:color="auto"/>
                      </w:divBdr>
                    </w:div>
                  </w:divsChild>
                </w:div>
                <w:div w:id="346560685">
                  <w:marLeft w:val="0"/>
                  <w:marRight w:val="0"/>
                  <w:marTop w:val="0"/>
                  <w:marBottom w:val="0"/>
                  <w:divBdr>
                    <w:top w:val="none" w:sz="0" w:space="0" w:color="auto"/>
                    <w:left w:val="none" w:sz="0" w:space="0" w:color="auto"/>
                    <w:bottom w:val="none" w:sz="0" w:space="0" w:color="auto"/>
                    <w:right w:val="none" w:sz="0" w:space="0" w:color="auto"/>
                  </w:divBdr>
                  <w:divsChild>
                    <w:div w:id="904485451">
                      <w:marLeft w:val="0"/>
                      <w:marRight w:val="0"/>
                      <w:marTop w:val="0"/>
                      <w:marBottom w:val="0"/>
                      <w:divBdr>
                        <w:top w:val="none" w:sz="0" w:space="0" w:color="auto"/>
                        <w:left w:val="none" w:sz="0" w:space="0" w:color="auto"/>
                        <w:bottom w:val="none" w:sz="0" w:space="0" w:color="auto"/>
                        <w:right w:val="none" w:sz="0" w:space="0" w:color="auto"/>
                      </w:divBdr>
                    </w:div>
                  </w:divsChild>
                </w:div>
                <w:div w:id="491987601">
                  <w:marLeft w:val="0"/>
                  <w:marRight w:val="0"/>
                  <w:marTop w:val="0"/>
                  <w:marBottom w:val="0"/>
                  <w:divBdr>
                    <w:top w:val="none" w:sz="0" w:space="0" w:color="auto"/>
                    <w:left w:val="none" w:sz="0" w:space="0" w:color="auto"/>
                    <w:bottom w:val="none" w:sz="0" w:space="0" w:color="auto"/>
                    <w:right w:val="none" w:sz="0" w:space="0" w:color="auto"/>
                  </w:divBdr>
                  <w:divsChild>
                    <w:div w:id="963728380">
                      <w:marLeft w:val="0"/>
                      <w:marRight w:val="0"/>
                      <w:marTop w:val="0"/>
                      <w:marBottom w:val="0"/>
                      <w:divBdr>
                        <w:top w:val="none" w:sz="0" w:space="0" w:color="auto"/>
                        <w:left w:val="none" w:sz="0" w:space="0" w:color="auto"/>
                        <w:bottom w:val="none" w:sz="0" w:space="0" w:color="auto"/>
                        <w:right w:val="none" w:sz="0" w:space="0" w:color="auto"/>
                      </w:divBdr>
                    </w:div>
                  </w:divsChild>
                </w:div>
                <w:div w:id="1761221203">
                  <w:marLeft w:val="0"/>
                  <w:marRight w:val="0"/>
                  <w:marTop w:val="0"/>
                  <w:marBottom w:val="0"/>
                  <w:divBdr>
                    <w:top w:val="none" w:sz="0" w:space="0" w:color="auto"/>
                    <w:left w:val="none" w:sz="0" w:space="0" w:color="auto"/>
                    <w:bottom w:val="none" w:sz="0" w:space="0" w:color="auto"/>
                    <w:right w:val="none" w:sz="0" w:space="0" w:color="auto"/>
                  </w:divBdr>
                  <w:divsChild>
                    <w:div w:id="733820230">
                      <w:marLeft w:val="0"/>
                      <w:marRight w:val="0"/>
                      <w:marTop w:val="0"/>
                      <w:marBottom w:val="0"/>
                      <w:divBdr>
                        <w:top w:val="none" w:sz="0" w:space="0" w:color="auto"/>
                        <w:left w:val="none" w:sz="0" w:space="0" w:color="auto"/>
                        <w:bottom w:val="none" w:sz="0" w:space="0" w:color="auto"/>
                        <w:right w:val="none" w:sz="0" w:space="0" w:color="auto"/>
                      </w:divBdr>
                    </w:div>
                  </w:divsChild>
                </w:div>
                <w:div w:id="1887794309">
                  <w:marLeft w:val="0"/>
                  <w:marRight w:val="0"/>
                  <w:marTop w:val="0"/>
                  <w:marBottom w:val="0"/>
                  <w:divBdr>
                    <w:top w:val="none" w:sz="0" w:space="0" w:color="auto"/>
                    <w:left w:val="none" w:sz="0" w:space="0" w:color="auto"/>
                    <w:bottom w:val="none" w:sz="0" w:space="0" w:color="auto"/>
                    <w:right w:val="none" w:sz="0" w:space="0" w:color="auto"/>
                  </w:divBdr>
                  <w:divsChild>
                    <w:div w:id="1981225919">
                      <w:marLeft w:val="0"/>
                      <w:marRight w:val="0"/>
                      <w:marTop w:val="0"/>
                      <w:marBottom w:val="0"/>
                      <w:divBdr>
                        <w:top w:val="none" w:sz="0" w:space="0" w:color="auto"/>
                        <w:left w:val="none" w:sz="0" w:space="0" w:color="auto"/>
                        <w:bottom w:val="none" w:sz="0" w:space="0" w:color="auto"/>
                        <w:right w:val="none" w:sz="0" w:space="0" w:color="auto"/>
                      </w:divBdr>
                    </w:div>
                  </w:divsChild>
                </w:div>
                <w:div w:id="689910787">
                  <w:marLeft w:val="0"/>
                  <w:marRight w:val="0"/>
                  <w:marTop w:val="0"/>
                  <w:marBottom w:val="0"/>
                  <w:divBdr>
                    <w:top w:val="none" w:sz="0" w:space="0" w:color="auto"/>
                    <w:left w:val="none" w:sz="0" w:space="0" w:color="auto"/>
                    <w:bottom w:val="none" w:sz="0" w:space="0" w:color="auto"/>
                    <w:right w:val="none" w:sz="0" w:space="0" w:color="auto"/>
                  </w:divBdr>
                  <w:divsChild>
                    <w:div w:id="1131556288">
                      <w:marLeft w:val="0"/>
                      <w:marRight w:val="0"/>
                      <w:marTop w:val="0"/>
                      <w:marBottom w:val="0"/>
                      <w:divBdr>
                        <w:top w:val="none" w:sz="0" w:space="0" w:color="auto"/>
                        <w:left w:val="none" w:sz="0" w:space="0" w:color="auto"/>
                        <w:bottom w:val="none" w:sz="0" w:space="0" w:color="auto"/>
                        <w:right w:val="none" w:sz="0" w:space="0" w:color="auto"/>
                      </w:divBdr>
                    </w:div>
                  </w:divsChild>
                </w:div>
                <w:div w:id="2146238802">
                  <w:marLeft w:val="0"/>
                  <w:marRight w:val="0"/>
                  <w:marTop w:val="0"/>
                  <w:marBottom w:val="0"/>
                  <w:divBdr>
                    <w:top w:val="none" w:sz="0" w:space="0" w:color="auto"/>
                    <w:left w:val="none" w:sz="0" w:space="0" w:color="auto"/>
                    <w:bottom w:val="none" w:sz="0" w:space="0" w:color="auto"/>
                    <w:right w:val="none" w:sz="0" w:space="0" w:color="auto"/>
                  </w:divBdr>
                  <w:divsChild>
                    <w:div w:id="1964119051">
                      <w:marLeft w:val="0"/>
                      <w:marRight w:val="0"/>
                      <w:marTop w:val="0"/>
                      <w:marBottom w:val="0"/>
                      <w:divBdr>
                        <w:top w:val="none" w:sz="0" w:space="0" w:color="auto"/>
                        <w:left w:val="none" w:sz="0" w:space="0" w:color="auto"/>
                        <w:bottom w:val="none" w:sz="0" w:space="0" w:color="auto"/>
                        <w:right w:val="none" w:sz="0" w:space="0" w:color="auto"/>
                      </w:divBdr>
                    </w:div>
                  </w:divsChild>
                </w:div>
                <w:div w:id="813639706">
                  <w:marLeft w:val="0"/>
                  <w:marRight w:val="0"/>
                  <w:marTop w:val="0"/>
                  <w:marBottom w:val="0"/>
                  <w:divBdr>
                    <w:top w:val="none" w:sz="0" w:space="0" w:color="auto"/>
                    <w:left w:val="none" w:sz="0" w:space="0" w:color="auto"/>
                    <w:bottom w:val="none" w:sz="0" w:space="0" w:color="auto"/>
                    <w:right w:val="none" w:sz="0" w:space="0" w:color="auto"/>
                  </w:divBdr>
                  <w:divsChild>
                    <w:div w:id="493644175">
                      <w:marLeft w:val="0"/>
                      <w:marRight w:val="0"/>
                      <w:marTop w:val="0"/>
                      <w:marBottom w:val="0"/>
                      <w:divBdr>
                        <w:top w:val="none" w:sz="0" w:space="0" w:color="auto"/>
                        <w:left w:val="none" w:sz="0" w:space="0" w:color="auto"/>
                        <w:bottom w:val="none" w:sz="0" w:space="0" w:color="auto"/>
                        <w:right w:val="none" w:sz="0" w:space="0" w:color="auto"/>
                      </w:divBdr>
                    </w:div>
                  </w:divsChild>
                </w:div>
                <w:div w:id="628626883">
                  <w:marLeft w:val="0"/>
                  <w:marRight w:val="0"/>
                  <w:marTop w:val="0"/>
                  <w:marBottom w:val="0"/>
                  <w:divBdr>
                    <w:top w:val="none" w:sz="0" w:space="0" w:color="auto"/>
                    <w:left w:val="none" w:sz="0" w:space="0" w:color="auto"/>
                    <w:bottom w:val="none" w:sz="0" w:space="0" w:color="auto"/>
                    <w:right w:val="none" w:sz="0" w:space="0" w:color="auto"/>
                  </w:divBdr>
                  <w:divsChild>
                    <w:div w:id="28997331">
                      <w:marLeft w:val="0"/>
                      <w:marRight w:val="0"/>
                      <w:marTop w:val="0"/>
                      <w:marBottom w:val="0"/>
                      <w:divBdr>
                        <w:top w:val="none" w:sz="0" w:space="0" w:color="auto"/>
                        <w:left w:val="none" w:sz="0" w:space="0" w:color="auto"/>
                        <w:bottom w:val="none" w:sz="0" w:space="0" w:color="auto"/>
                        <w:right w:val="none" w:sz="0" w:space="0" w:color="auto"/>
                      </w:divBdr>
                    </w:div>
                  </w:divsChild>
                </w:div>
                <w:div w:id="12926340">
                  <w:marLeft w:val="0"/>
                  <w:marRight w:val="0"/>
                  <w:marTop w:val="0"/>
                  <w:marBottom w:val="0"/>
                  <w:divBdr>
                    <w:top w:val="none" w:sz="0" w:space="0" w:color="auto"/>
                    <w:left w:val="none" w:sz="0" w:space="0" w:color="auto"/>
                    <w:bottom w:val="none" w:sz="0" w:space="0" w:color="auto"/>
                    <w:right w:val="none" w:sz="0" w:space="0" w:color="auto"/>
                  </w:divBdr>
                  <w:divsChild>
                    <w:div w:id="1581477195">
                      <w:marLeft w:val="0"/>
                      <w:marRight w:val="0"/>
                      <w:marTop w:val="0"/>
                      <w:marBottom w:val="0"/>
                      <w:divBdr>
                        <w:top w:val="none" w:sz="0" w:space="0" w:color="auto"/>
                        <w:left w:val="none" w:sz="0" w:space="0" w:color="auto"/>
                        <w:bottom w:val="none" w:sz="0" w:space="0" w:color="auto"/>
                        <w:right w:val="none" w:sz="0" w:space="0" w:color="auto"/>
                      </w:divBdr>
                    </w:div>
                  </w:divsChild>
                </w:div>
                <w:div w:id="970549119">
                  <w:marLeft w:val="0"/>
                  <w:marRight w:val="0"/>
                  <w:marTop w:val="0"/>
                  <w:marBottom w:val="0"/>
                  <w:divBdr>
                    <w:top w:val="none" w:sz="0" w:space="0" w:color="auto"/>
                    <w:left w:val="none" w:sz="0" w:space="0" w:color="auto"/>
                    <w:bottom w:val="none" w:sz="0" w:space="0" w:color="auto"/>
                    <w:right w:val="none" w:sz="0" w:space="0" w:color="auto"/>
                  </w:divBdr>
                  <w:divsChild>
                    <w:div w:id="214464005">
                      <w:marLeft w:val="0"/>
                      <w:marRight w:val="0"/>
                      <w:marTop w:val="0"/>
                      <w:marBottom w:val="0"/>
                      <w:divBdr>
                        <w:top w:val="none" w:sz="0" w:space="0" w:color="auto"/>
                        <w:left w:val="none" w:sz="0" w:space="0" w:color="auto"/>
                        <w:bottom w:val="none" w:sz="0" w:space="0" w:color="auto"/>
                        <w:right w:val="none" w:sz="0" w:space="0" w:color="auto"/>
                      </w:divBdr>
                    </w:div>
                  </w:divsChild>
                </w:div>
                <w:div w:id="618025078">
                  <w:marLeft w:val="0"/>
                  <w:marRight w:val="0"/>
                  <w:marTop w:val="0"/>
                  <w:marBottom w:val="0"/>
                  <w:divBdr>
                    <w:top w:val="none" w:sz="0" w:space="0" w:color="auto"/>
                    <w:left w:val="none" w:sz="0" w:space="0" w:color="auto"/>
                    <w:bottom w:val="none" w:sz="0" w:space="0" w:color="auto"/>
                    <w:right w:val="none" w:sz="0" w:space="0" w:color="auto"/>
                  </w:divBdr>
                  <w:divsChild>
                    <w:div w:id="753431257">
                      <w:marLeft w:val="0"/>
                      <w:marRight w:val="0"/>
                      <w:marTop w:val="0"/>
                      <w:marBottom w:val="0"/>
                      <w:divBdr>
                        <w:top w:val="none" w:sz="0" w:space="0" w:color="auto"/>
                        <w:left w:val="none" w:sz="0" w:space="0" w:color="auto"/>
                        <w:bottom w:val="none" w:sz="0" w:space="0" w:color="auto"/>
                        <w:right w:val="none" w:sz="0" w:space="0" w:color="auto"/>
                      </w:divBdr>
                    </w:div>
                  </w:divsChild>
                </w:div>
                <w:div w:id="893853152">
                  <w:marLeft w:val="0"/>
                  <w:marRight w:val="0"/>
                  <w:marTop w:val="0"/>
                  <w:marBottom w:val="0"/>
                  <w:divBdr>
                    <w:top w:val="none" w:sz="0" w:space="0" w:color="auto"/>
                    <w:left w:val="none" w:sz="0" w:space="0" w:color="auto"/>
                    <w:bottom w:val="none" w:sz="0" w:space="0" w:color="auto"/>
                    <w:right w:val="none" w:sz="0" w:space="0" w:color="auto"/>
                  </w:divBdr>
                  <w:divsChild>
                    <w:div w:id="1293484550">
                      <w:marLeft w:val="0"/>
                      <w:marRight w:val="0"/>
                      <w:marTop w:val="0"/>
                      <w:marBottom w:val="0"/>
                      <w:divBdr>
                        <w:top w:val="none" w:sz="0" w:space="0" w:color="auto"/>
                        <w:left w:val="none" w:sz="0" w:space="0" w:color="auto"/>
                        <w:bottom w:val="none" w:sz="0" w:space="0" w:color="auto"/>
                        <w:right w:val="none" w:sz="0" w:space="0" w:color="auto"/>
                      </w:divBdr>
                    </w:div>
                  </w:divsChild>
                </w:div>
                <w:div w:id="1965384381">
                  <w:marLeft w:val="0"/>
                  <w:marRight w:val="0"/>
                  <w:marTop w:val="0"/>
                  <w:marBottom w:val="0"/>
                  <w:divBdr>
                    <w:top w:val="none" w:sz="0" w:space="0" w:color="auto"/>
                    <w:left w:val="none" w:sz="0" w:space="0" w:color="auto"/>
                    <w:bottom w:val="none" w:sz="0" w:space="0" w:color="auto"/>
                    <w:right w:val="none" w:sz="0" w:space="0" w:color="auto"/>
                  </w:divBdr>
                  <w:divsChild>
                    <w:div w:id="930815485">
                      <w:marLeft w:val="0"/>
                      <w:marRight w:val="0"/>
                      <w:marTop w:val="0"/>
                      <w:marBottom w:val="0"/>
                      <w:divBdr>
                        <w:top w:val="none" w:sz="0" w:space="0" w:color="auto"/>
                        <w:left w:val="none" w:sz="0" w:space="0" w:color="auto"/>
                        <w:bottom w:val="none" w:sz="0" w:space="0" w:color="auto"/>
                        <w:right w:val="none" w:sz="0" w:space="0" w:color="auto"/>
                      </w:divBdr>
                    </w:div>
                  </w:divsChild>
                </w:div>
                <w:div w:id="2104835501">
                  <w:marLeft w:val="0"/>
                  <w:marRight w:val="0"/>
                  <w:marTop w:val="0"/>
                  <w:marBottom w:val="0"/>
                  <w:divBdr>
                    <w:top w:val="none" w:sz="0" w:space="0" w:color="auto"/>
                    <w:left w:val="none" w:sz="0" w:space="0" w:color="auto"/>
                    <w:bottom w:val="none" w:sz="0" w:space="0" w:color="auto"/>
                    <w:right w:val="none" w:sz="0" w:space="0" w:color="auto"/>
                  </w:divBdr>
                  <w:divsChild>
                    <w:div w:id="577011574">
                      <w:marLeft w:val="0"/>
                      <w:marRight w:val="0"/>
                      <w:marTop w:val="0"/>
                      <w:marBottom w:val="0"/>
                      <w:divBdr>
                        <w:top w:val="none" w:sz="0" w:space="0" w:color="auto"/>
                        <w:left w:val="none" w:sz="0" w:space="0" w:color="auto"/>
                        <w:bottom w:val="none" w:sz="0" w:space="0" w:color="auto"/>
                        <w:right w:val="none" w:sz="0" w:space="0" w:color="auto"/>
                      </w:divBdr>
                    </w:div>
                  </w:divsChild>
                </w:div>
                <w:div w:id="1069769372">
                  <w:marLeft w:val="0"/>
                  <w:marRight w:val="0"/>
                  <w:marTop w:val="0"/>
                  <w:marBottom w:val="0"/>
                  <w:divBdr>
                    <w:top w:val="none" w:sz="0" w:space="0" w:color="auto"/>
                    <w:left w:val="none" w:sz="0" w:space="0" w:color="auto"/>
                    <w:bottom w:val="none" w:sz="0" w:space="0" w:color="auto"/>
                    <w:right w:val="none" w:sz="0" w:space="0" w:color="auto"/>
                  </w:divBdr>
                  <w:divsChild>
                    <w:div w:id="1006324883">
                      <w:marLeft w:val="0"/>
                      <w:marRight w:val="0"/>
                      <w:marTop w:val="0"/>
                      <w:marBottom w:val="0"/>
                      <w:divBdr>
                        <w:top w:val="none" w:sz="0" w:space="0" w:color="auto"/>
                        <w:left w:val="none" w:sz="0" w:space="0" w:color="auto"/>
                        <w:bottom w:val="none" w:sz="0" w:space="0" w:color="auto"/>
                        <w:right w:val="none" w:sz="0" w:space="0" w:color="auto"/>
                      </w:divBdr>
                    </w:div>
                  </w:divsChild>
                </w:div>
                <w:div w:id="909925646">
                  <w:marLeft w:val="0"/>
                  <w:marRight w:val="0"/>
                  <w:marTop w:val="0"/>
                  <w:marBottom w:val="0"/>
                  <w:divBdr>
                    <w:top w:val="none" w:sz="0" w:space="0" w:color="auto"/>
                    <w:left w:val="none" w:sz="0" w:space="0" w:color="auto"/>
                    <w:bottom w:val="none" w:sz="0" w:space="0" w:color="auto"/>
                    <w:right w:val="none" w:sz="0" w:space="0" w:color="auto"/>
                  </w:divBdr>
                  <w:divsChild>
                    <w:div w:id="324208031">
                      <w:marLeft w:val="0"/>
                      <w:marRight w:val="0"/>
                      <w:marTop w:val="0"/>
                      <w:marBottom w:val="0"/>
                      <w:divBdr>
                        <w:top w:val="none" w:sz="0" w:space="0" w:color="auto"/>
                        <w:left w:val="none" w:sz="0" w:space="0" w:color="auto"/>
                        <w:bottom w:val="none" w:sz="0" w:space="0" w:color="auto"/>
                        <w:right w:val="none" w:sz="0" w:space="0" w:color="auto"/>
                      </w:divBdr>
                    </w:div>
                  </w:divsChild>
                </w:div>
                <w:div w:id="1126659618">
                  <w:marLeft w:val="0"/>
                  <w:marRight w:val="0"/>
                  <w:marTop w:val="0"/>
                  <w:marBottom w:val="0"/>
                  <w:divBdr>
                    <w:top w:val="none" w:sz="0" w:space="0" w:color="auto"/>
                    <w:left w:val="none" w:sz="0" w:space="0" w:color="auto"/>
                    <w:bottom w:val="none" w:sz="0" w:space="0" w:color="auto"/>
                    <w:right w:val="none" w:sz="0" w:space="0" w:color="auto"/>
                  </w:divBdr>
                  <w:divsChild>
                    <w:div w:id="2121560557">
                      <w:marLeft w:val="0"/>
                      <w:marRight w:val="0"/>
                      <w:marTop w:val="0"/>
                      <w:marBottom w:val="0"/>
                      <w:divBdr>
                        <w:top w:val="none" w:sz="0" w:space="0" w:color="auto"/>
                        <w:left w:val="none" w:sz="0" w:space="0" w:color="auto"/>
                        <w:bottom w:val="none" w:sz="0" w:space="0" w:color="auto"/>
                        <w:right w:val="none" w:sz="0" w:space="0" w:color="auto"/>
                      </w:divBdr>
                    </w:div>
                  </w:divsChild>
                </w:div>
                <w:div w:id="1518884693">
                  <w:marLeft w:val="0"/>
                  <w:marRight w:val="0"/>
                  <w:marTop w:val="0"/>
                  <w:marBottom w:val="0"/>
                  <w:divBdr>
                    <w:top w:val="none" w:sz="0" w:space="0" w:color="auto"/>
                    <w:left w:val="none" w:sz="0" w:space="0" w:color="auto"/>
                    <w:bottom w:val="none" w:sz="0" w:space="0" w:color="auto"/>
                    <w:right w:val="none" w:sz="0" w:space="0" w:color="auto"/>
                  </w:divBdr>
                  <w:divsChild>
                    <w:div w:id="775248971">
                      <w:marLeft w:val="0"/>
                      <w:marRight w:val="0"/>
                      <w:marTop w:val="0"/>
                      <w:marBottom w:val="0"/>
                      <w:divBdr>
                        <w:top w:val="none" w:sz="0" w:space="0" w:color="auto"/>
                        <w:left w:val="none" w:sz="0" w:space="0" w:color="auto"/>
                        <w:bottom w:val="none" w:sz="0" w:space="0" w:color="auto"/>
                        <w:right w:val="none" w:sz="0" w:space="0" w:color="auto"/>
                      </w:divBdr>
                    </w:div>
                  </w:divsChild>
                </w:div>
                <w:div w:id="1599366044">
                  <w:marLeft w:val="0"/>
                  <w:marRight w:val="0"/>
                  <w:marTop w:val="0"/>
                  <w:marBottom w:val="0"/>
                  <w:divBdr>
                    <w:top w:val="none" w:sz="0" w:space="0" w:color="auto"/>
                    <w:left w:val="none" w:sz="0" w:space="0" w:color="auto"/>
                    <w:bottom w:val="none" w:sz="0" w:space="0" w:color="auto"/>
                    <w:right w:val="none" w:sz="0" w:space="0" w:color="auto"/>
                  </w:divBdr>
                  <w:divsChild>
                    <w:div w:id="124079519">
                      <w:marLeft w:val="0"/>
                      <w:marRight w:val="0"/>
                      <w:marTop w:val="0"/>
                      <w:marBottom w:val="0"/>
                      <w:divBdr>
                        <w:top w:val="none" w:sz="0" w:space="0" w:color="auto"/>
                        <w:left w:val="none" w:sz="0" w:space="0" w:color="auto"/>
                        <w:bottom w:val="none" w:sz="0" w:space="0" w:color="auto"/>
                        <w:right w:val="none" w:sz="0" w:space="0" w:color="auto"/>
                      </w:divBdr>
                    </w:div>
                  </w:divsChild>
                </w:div>
                <w:div w:id="342560157">
                  <w:marLeft w:val="0"/>
                  <w:marRight w:val="0"/>
                  <w:marTop w:val="0"/>
                  <w:marBottom w:val="0"/>
                  <w:divBdr>
                    <w:top w:val="none" w:sz="0" w:space="0" w:color="auto"/>
                    <w:left w:val="none" w:sz="0" w:space="0" w:color="auto"/>
                    <w:bottom w:val="none" w:sz="0" w:space="0" w:color="auto"/>
                    <w:right w:val="none" w:sz="0" w:space="0" w:color="auto"/>
                  </w:divBdr>
                  <w:divsChild>
                    <w:div w:id="1913851175">
                      <w:marLeft w:val="0"/>
                      <w:marRight w:val="0"/>
                      <w:marTop w:val="0"/>
                      <w:marBottom w:val="0"/>
                      <w:divBdr>
                        <w:top w:val="none" w:sz="0" w:space="0" w:color="auto"/>
                        <w:left w:val="none" w:sz="0" w:space="0" w:color="auto"/>
                        <w:bottom w:val="none" w:sz="0" w:space="0" w:color="auto"/>
                        <w:right w:val="none" w:sz="0" w:space="0" w:color="auto"/>
                      </w:divBdr>
                    </w:div>
                  </w:divsChild>
                </w:div>
                <w:div w:id="960114821">
                  <w:marLeft w:val="0"/>
                  <w:marRight w:val="0"/>
                  <w:marTop w:val="0"/>
                  <w:marBottom w:val="0"/>
                  <w:divBdr>
                    <w:top w:val="none" w:sz="0" w:space="0" w:color="auto"/>
                    <w:left w:val="none" w:sz="0" w:space="0" w:color="auto"/>
                    <w:bottom w:val="none" w:sz="0" w:space="0" w:color="auto"/>
                    <w:right w:val="none" w:sz="0" w:space="0" w:color="auto"/>
                  </w:divBdr>
                  <w:divsChild>
                    <w:div w:id="1146242127">
                      <w:marLeft w:val="0"/>
                      <w:marRight w:val="0"/>
                      <w:marTop w:val="0"/>
                      <w:marBottom w:val="0"/>
                      <w:divBdr>
                        <w:top w:val="none" w:sz="0" w:space="0" w:color="auto"/>
                        <w:left w:val="none" w:sz="0" w:space="0" w:color="auto"/>
                        <w:bottom w:val="none" w:sz="0" w:space="0" w:color="auto"/>
                        <w:right w:val="none" w:sz="0" w:space="0" w:color="auto"/>
                      </w:divBdr>
                    </w:div>
                  </w:divsChild>
                </w:div>
                <w:div w:id="674236023">
                  <w:marLeft w:val="0"/>
                  <w:marRight w:val="0"/>
                  <w:marTop w:val="0"/>
                  <w:marBottom w:val="0"/>
                  <w:divBdr>
                    <w:top w:val="none" w:sz="0" w:space="0" w:color="auto"/>
                    <w:left w:val="none" w:sz="0" w:space="0" w:color="auto"/>
                    <w:bottom w:val="none" w:sz="0" w:space="0" w:color="auto"/>
                    <w:right w:val="none" w:sz="0" w:space="0" w:color="auto"/>
                  </w:divBdr>
                  <w:divsChild>
                    <w:div w:id="2144108290">
                      <w:marLeft w:val="0"/>
                      <w:marRight w:val="0"/>
                      <w:marTop w:val="0"/>
                      <w:marBottom w:val="0"/>
                      <w:divBdr>
                        <w:top w:val="none" w:sz="0" w:space="0" w:color="auto"/>
                        <w:left w:val="none" w:sz="0" w:space="0" w:color="auto"/>
                        <w:bottom w:val="none" w:sz="0" w:space="0" w:color="auto"/>
                        <w:right w:val="none" w:sz="0" w:space="0" w:color="auto"/>
                      </w:divBdr>
                    </w:div>
                  </w:divsChild>
                </w:div>
                <w:div w:id="451901567">
                  <w:marLeft w:val="0"/>
                  <w:marRight w:val="0"/>
                  <w:marTop w:val="0"/>
                  <w:marBottom w:val="0"/>
                  <w:divBdr>
                    <w:top w:val="none" w:sz="0" w:space="0" w:color="auto"/>
                    <w:left w:val="none" w:sz="0" w:space="0" w:color="auto"/>
                    <w:bottom w:val="none" w:sz="0" w:space="0" w:color="auto"/>
                    <w:right w:val="none" w:sz="0" w:space="0" w:color="auto"/>
                  </w:divBdr>
                  <w:divsChild>
                    <w:div w:id="87123135">
                      <w:marLeft w:val="0"/>
                      <w:marRight w:val="0"/>
                      <w:marTop w:val="0"/>
                      <w:marBottom w:val="0"/>
                      <w:divBdr>
                        <w:top w:val="none" w:sz="0" w:space="0" w:color="auto"/>
                        <w:left w:val="none" w:sz="0" w:space="0" w:color="auto"/>
                        <w:bottom w:val="none" w:sz="0" w:space="0" w:color="auto"/>
                        <w:right w:val="none" w:sz="0" w:space="0" w:color="auto"/>
                      </w:divBdr>
                    </w:div>
                  </w:divsChild>
                </w:div>
                <w:div w:id="1740403610">
                  <w:marLeft w:val="0"/>
                  <w:marRight w:val="0"/>
                  <w:marTop w:val="0"/>
                  <w:marBottom w:val="0"/>
                  <w:divBdr>
                    <w:top w:val="none" w:sz="0" w:space="0" w:color="auto"/>
                    <w:left w:val="none" w:sz="0" w:space="0" w:color="auto"/>
                    <w:bottom w:val="none" w:sz="0" w:space="0" w:color="auto"/>
                    <w:right w:val="none" w:sz="0" w:space="0" w:color="auto"/>
                  </w:divBdr>
                  <w:divsChild>
                    <w:div w:id="1527794225">
                      <w:marLeft w:val="0"/>
                      <w:marRight w:val="0"/>
                      <w:marTop w:val="0"/>
                      <w:marBottom w:val="0"/>
                      <w:divBdr>
                        <w:top w:val="none" w:sz="0" w:space="0" w:color="auto"/>
                        <w:left w:val="none" w:sz="0" w:space="0" w:color="auto"/>
                        <w:bottom w:val="none" w:sz="0" w:space="0" w:color="auto"/>
                        <w:right w:val="none" w:sz="0" w:space="0" w:color="auto"/>
                      </w:divBdr>
                    </w:div>
                  </w:divsChild>
                </w:div>
                <w:div w:id="266499259">
                  <w:marLeft w:val="0"/>
                  <w:marRight w:val="0"/>
                  <w:marTop w:val="0"/>
                  <w:marBottom w:val="0"/>
                  <w:divBdr>
                    <w:top w:val="none" w:sz="0" w:space="0" w:color="auto"/>
                    <w:left w:val="none" w:sz="0" w:space="0" w:color="auto"/>
                    <w:bottom w:val="none" w:sz="0" w:space="0" w:color="auto"/>
                    <w:right w:val="none" w:sz="0" w:space="0" w:color="auto"/>
                  </w:divBdr>
                  <w:divsChild>
                    <w:div w:id="51391471">
                      <w:marLeft w:val="0"/>
                      <w:marRight w:val="0"/>
                      <w:marTop w:val="0"/>
                      <w:marBottom w:val="0"/>
                      <w:divBdr>
                        <w:top w:val="none" w:sz="0" w:space="0" w:color="auto"/>
                        <w:left w:val="none" w:sz="0" w:space="0" w:color="auto"/>
                        <w:bottom w:val="none" w:sz="0" w:space="0" w:color="auto"/>
                        <w:right w:val="none" w:sz="0" w:space="0" w:color="auto"/>
                      </w:divBdr>
                    </w:div>
                  </w:divsChild>
                </w:div>
                <w:div w:id="1070730233">
                  <w:marLeft w:val="0"/>
                  <w:marRight w:val="0"/>
                  <w:marTop w:val="0"/>
                  <w:marBottom w:val="0"/>
                  <w:divBdr>
                    <w:top w:val="none" w:sz="0" w:space="0" w:color="auto"/>
                    <w:left w:val="none" w:sz="0" w:space="0" w:color="auto"/>
                    <w:bottom w:val="none" w:sz="0" w:space="0" w:color="auto"/>
                    <w:right w:val="none" w:sz="0" w:space="0" w:color="auto"/>
                  </w:divBdr>
                  <w:divsChild>
                    <w:div w:id="1296182026">
                      <w:marLeft w:val="0"/>
                      <w:marRight w:val="0"/>
                      <w:marTop w:val="0"/>
                      <w:marBottom w:val="0"/>
                      <w:divBdr>
                        <w:top w:val="none" w:sz="0" w:space="0" w:color="auto"/>
                        <w:left w:val="none" w:sz="0" w:space="0" w:color="auto"/>
                        <w:bottom w:val="none" w:sz="0" w:space="0" w:color="auto"/>
                        <w:right w:val="none" w:sz="0" w:space="0" w:color="auto"/>
                      </w:divBdr>
                    </w:div>
                  </w:divsChild>
                </w:div>
                <w:div w:id="1442188559">
                  <w:marLeft w:val="0"/>
                  <w:marRight w:val="0"/>
                  <w:marTop w:val="0"/>
                  <w:marBottom w:val="0"/>
                  <w:divBdr>
                    <w:top w:val="none" w:sz="0" w:space="0" w:color="auto"/>
                    <w:left w:val="none" w:sz="0" w:space="0" w:color="auto"/>
                    <w:bottom w:val="none" w:sz="0" w:space="0" w:color="auto"/>
                    <w:right w:val="none" w:sz="0" w:space="0" w:color="auto"/>
                  </w:divBdr>
                  <w:divsChild>
                    <w:div w:id="1610506032">
                      <w:marLeft w:val="0"/>
                      <w:marRight w:val="0"/>
                      <w:marTop w:val="0"/>
                      <w:marBottom w:val="0"/>
                      <w:divBdr>
                        <w:top w:val="none" w:sz="0" w:space="0" w:color="auto"/>
                        <w:left w:val="none" w:sz="0" w:space="0" w:color="auto"/>
                        <w:bottom w:val="none" w:sz="0" w:space="0" w:color="auto"/>
                        <w:right w:val="none" w:sz="0" w:space="0" w:color="auto"/>
                      </w:divBdr>
                    </w:div>
                  </w:divsChild>
                </w:div>
                <w:div w:id="1812286514">
                  <w:marLeft w:val="0"/>
                  <w:marRight w:val="0"/>
                  <w:marTop w:val="0"/>
                  <w:marBottom w:val="0"/>
                  <w:divBdr>
                    <w:top w:val="none" w:sz="0" w:space="0" w:color="auto"/>
                    <w:left w:val="none" w:sz="0" w:space="0" w:color="auto"/>
                    <w:bottom w:val="none" w:sz="0" w:space="0" w:color="auto"/>
                    <w:right w:val="none" w:sz="0" w:space="0" w:color="auto"/>
                  </w:divBdr>
                  <w:divsChild>
                    <w:div w:id="2114394754">
                      <w:marLeft w:val="0"/>
                      <w:marRight w:val="0"/>
                      <w:marTop w:val="0"/>
                      <w:marBottom w:val="0"/>
                      <w:divBdr>
                        <w:top w:val="none" w:sz="0" w:space="0" w:color="auto"/>
                        <w:left w:val="none" w:sz="0" w:space="0" w:color="auto"/>
                        <w:bottom w:val="none" w:sz="0" w:space="0" w:color="auto"/>
                        <w:right w:val="none" w:sz="0" w:space="0" w:color="auto"/>
                      </w:divBdr>
                    </w:div>
                  </w:divsChild>
                </w:div>
                <w:div w:id="1710169">
                  <w:marLeft w:val="0"/>
                  <w:marRight w:val="0"/>
                  <w:marTop w:val="0"/>
                  <w:marBottom w:val="0"/>
                  <w:divBdr>
                    <w:top w:val="none" w:sz="0" w:space="0" w:color="auto"/>
                    <w:left w:val="none" w:sz="0" w:space="0" w:color="auto"/>
                    <w:bottom w:val="none" w:sz="0" w:space="0" w:color="auto"/>
                    <w:right w:val="none" w:sz="0" w:space="0" w:color="auto"/>
                  </w:divBdr>
                  <w:divsChild>
                    <w:div w:id="1255481630">
                      <w:marLeft w:val="0"/>
                      <w:marRight w:val="0"/>
                      <w:marTop w:val="0"/>
                      <w:marBottom w:val="0"/>
                      <w:divBdr>
                        <w:top w:val="none" w:sz="0" w:space="0" w:color="auto"/>
                        <w:left w:val="none" w:sz="0" w:space="0" w:color="auto"/>
                        <w:bottom w:val="none" w:sz="0" w:space="0" w:color="auto"/>
                        <w:right w:val="none" w:sz="0" w:space="0" w:color="auto"/>
                      </w:divBdr>
                    </w:div>
                  </w:divsChild>
                </w:div>
                <w:div w:id="1540972866">
                  <w:marLeft w:val="0"/>
                  <w:marRight w:val="0"/>
                  <w:marTop w:val="0"/>
                  <w:marBottom w:val="0"/>
                  <w:divBdr>
                    <w:top w:val="none" w:sz="0" w:space="0" w:color="auto"/>
                    <w:left w:val="none" w:sz="0" w:space="0" w:color="auto"/>
                    <w:bottom w:val="none" w:sz="0" w:space="0" w:color="auto"/>
                    <w:right w:val="none" w:sz="0" w:space="0" w:color="auto"/>
                  </w:divBdr>
                  <w:divsChild>
                    <w:div w:id="460269253">
                      <w:marLeft w:val="0"/>
                      <w:marRight w:val="0"/>
                      <w:marTop w:val="0"/>
                      <w:marBottom w:val="0"/>
                      <w:divBdr>
                        <w:top w:val="none" w:sz="0" w:space="0" w:color="auto"/>
                        <w:left w:val="none" w:sz="0" w:space="0" w:color="auto"/>
                        <w:bottom w:val="none" w:sz="0" w:space="0" w:color="auto"/>
                        <w:right w:val="none" w:sz="0" w:space="0" w:color="auto"/>
                      </w:divBdr>
                    </w:div>
                  </w:divsChild>
                </w:div>
                <w:div w:id="1897276783">
                  <w:marLeft w:val="0"/>
                  <w:marRight w:val="0"/>
                  <w:marTop w:val="0"/>
                  <w:marBottom w:val="0"/>
                  <w:divBdr>
                    <w:top w:val="none" w:sz="0" w:space="0" w:color="auto"/>
                    <w:left w:val="none" w:sz="0" w:space="0" w:color="auto"/>
                    <w:bottom w:val="none" w:sz="0" w:space="0" w:color="auto"/>
                    <w:right w:val="none" w:sz="0" w:space="0" w:color="auto"/>
                  </w:divBdr>
                  <w:divsChild>
                    <w:div w:id="929193486">
                      <w:marLeft w:val="0"/>
                      <w:marRight w:val="0"/>
                      <w:marTop w:val="0"/>
                      <w:marBottom w:val="0"/>
                      <w:divBdr>
                        <w:top w:val="none" w:sz="0" w:space="0" w:color="auto"/>
                        <w:left w:val="none" w:sz="0" w:space="0" w:color="auto"/>
                        <w:bottom w:val="none" w:sz="0" w:space="0" w:color="auto"/>
                        <w:right w:val="none" w:sz="0" w:space="0" w:color="auto"/>
                      </w:divBdr>
                    </w:div>
                  </w:divsChild>
                </w:div>
                <w:div w:id="1137913426">
                  <w:marLeft w:val="0"/>
                  <w:marRight w:val="0"/>
                  <w:marTop w:val="0"/>
                  <w:marBottom w:val="0"/>
                  <w:divBdr>
                    <w:top w:val="none" w:sz="0" w:space="0" w:color="auto"/>
                    <w:left w:val="none" w:sz="0" w:space="0" w:color="auto"/>
                    <w:bottom w:val="none" w:sz="0" w:space="0" w:color="auto"/>
                    <w:right w:val="none" w:sz="0" w:space="0" w:color="auto"/>
                  </w:divBdr>
                  <w:divsChild>
                    <w:div w:id="644941693">
                      <w:marLeft w:val="0"/>
                      <w:marRight w:val="0"/>
                      <w:marTop w:val="0"/>
                      <w:marBottom w:val="0"/>
                      <w:divBdr>
                        <w:top w:val="none" w:sz="0" w:space="0" w:color="auto"/>
                        <w:left w:val="none" w:sz="0" w:space="0" w:color="auto"/>
                        <w:bottom w:val="none" w:sz="0" w:space="0" w:color="auto"/>
                        <w:right w:val="none" w:sz="0" w:space="0" w:color="auto"/>
                      </w:divBdr>
                    </w:div>
                  </w:divsChild>
                </w:div>
                <w:div w:id="772476876">
                  <w:marLeft w:val="0"/>
                  <w:marRight w:val="0"/>
                  <w:marTop w:val="0"/>
                  <w:marBottom w:val="0"/>
                  <w:divBdr>
                    <w:top w:val="none" w:sz="0" w:space="0" w:color="auto"/>
                    <w:left w:val="none" w:sz="0" w:space="0" w:color="auto"/>
                    <w:bottom w:val="none" w:sz="0" w:space="0" w:color="auto"/>
                    <w:right w:val="none" w:sz="0" w:space="0" w:color="auto"/>
                  </w:divBdr>
                  <w:divsChild>
                    <w:div w:id="68581476">
                      <w:marLeft w:val="0"/>
                      <w:marRight w:val="0"/>
                      <w:marTop w:val="0"/>
                      <w:marBottom w:val="0"/>
                      <w:divBdr>
                        <w:top w:val="none" w:sz="0" w:space="0" w:color="auto"/>
                        <w:left w:val="none" w:sz="0" w:space="0" w:color="auto"/>
                        <w:bottom w:val="none" w:sz="0" w:space="0" w:color="auto"/>
                        <w:right w:val="none" w:sz="0" w:space="0" w:color="auto"/>
                      </w:divBdr>
                    </w:div>
                  </w:divsChild>
                </w:div>
                <w:div w:id="1848860038">
                  <w:marLeft w:val="0"/>
                  <w:marRight w:val="0"/>
                  <w:marTop w:val="0"/>
                  <w:marBottom w:val="0"/>
                  <w:divBdr>
                    <w:top w:val="none" w:sz="0" w:space="0" w:color="auto"/>
                    <w:left w:val="none" w:sz="0" w:space="0" w:color="auto"/>
                    <w:bottom w:val="none" w:sz="0" w:space="0" w:color="auto"/>
                    <w:right w:val="none" w:sz="0" w:space="0" w:color="auto"/>
                  </w:divBdr>
                  <w:divsChild>
                    <w:div w:id="82654948">
                      <w:marLeft w:val="0"/>
                      <w:marRight w:val="0"/>
                      <w:marTop w:val="0"/>
                      <w:marBottom w:val="0"/>
                      <w:divBdr>
                        <w:top w:val="none" w:sz="0" w:space="0" w:color="auto"/>
                        <w:left w:val="none" w:sz="0" w:space="0" w:color="auto"/>
                        <w:bottom w:val="none" w:sz="0" w:space="0" w:color="auto"/>
                        <w:right w:val="none" w:sz="0" w:space="0" w:color="auto"/>
                      </w:divBdr>
                    </w:div>
                  </w:divsChild>
                </w:div>
                <w:div w:id="364408323">
                  <w:marLeft w:val="0"/>
                  <w:marRight w:val="0"/>
                  <w:marTop w:val="0"/>
                  <w:marBottom w:val="0"/>
                  <w:divBdr>
                    <w:top w:val="none" w:sz="0" w:space="0" w:color="auto"/>
                    <w:left w:val="none" w:sz="0" w:space="0" w:color="auto"/>
                    <w:bottom w:val="none" w:sz="0" w:space="0" w:color="auto"/>
                    <w:right w:val="none" w:sz="0" w:space="0" w:color="auto"/>
                  </w:divBdr>
                  <w:divsChild>
                    <w:div w:id="2096902972">
                      <w:marLeft w:val="0"/>
                      <w:marRight w:val="0"/>
                      <w:marTop w:val="0"/>
                      <w:marBottom w:val="0"/>
                      <w:divBdr>
                        <w:top w:val="none" w:sz="0" w:space="0" w:color="auto"/>
                        <w:left w:val="none" w:sz="0" w:space="0" w:color="auto"/>
                        <w:bottom w:val="none" w:sz="0" w:space="0" w:color="auto"/>
                        <w:right w:val="none" w:sz="0" w:space="0" w:color="auto"/>
                      </w:divBdr>
                    </w:div>
                  </w:divsChild>
                </w:div>
                <w:div w:id="1439570225">
                  <w:marLeft w:val="0"/>
                  <w:marRight w:val="0"/>
                  <w:marTop w:val="0"/>
                  <w:marBottom w:val="0"/>
                  <w:divBdr>
                    <w:top w:val="none" w:sz="0" w:space="0" w:color="auto"/>
                    <w:left w:val="none" w:sz="0" w:space="0" w:color="auto"/>
                    <w:bottom w:val="none" w:sz="0" w:space="0" w:color="auto"/>
                    <w:right w:val="none" w:sz="0" w:space="0" w:color="auto"/>
                  </w:divBdr>
                  <w:divsChild>
                    <w:div w:id="210197399">
                      <w:marLeft w:val="0"/>
                      <w:marRight w:val="0"/>
                      <w:marTop w:val="0"/>
                      <w:marBottom w:val="0"/>
                      <w:divBdr>
                        <w:top w:val="none" w:sz="0" w:space="0" w:color="auto"/>
                        <w:left w:val="none" w:sz="0" w:space="0" w:color="auto"/>
                        <w:bottom w:val="none" w:sz="0" w:space="0" w:color="auto"/>
                        <w:right w:val="none" w:sz="0" w:space="0" w:color="auto"/>
                      </w:divBdr>
                    </w:div>
                  </w:divsChild>
                </w:div>
                <w:div w:id="2037190771">
                  <w:marLeft w:val="0"/>
                  <w:marRight w:val="0"/>
                  <w:marTop w:val="0"/>
                  <w:marBottom w:val="0"/>
                  <w:divBdr>
                    <w:top w:val="none" w:sz="0" w:space="0" w:color="auto"/>
                    <w:left w:val="none" w:sz="0" w:space="0" w:color="auto"/>
                    <w:bottom w:val="none" w:sz="0" w:space="0" w:color="auto"/>
                    <w:right w:val="none" w:sz="0" w:space="0" w:color="auto"/>
                  </w:divBdr>
                  <w:divsChild>
                    <w:div w:id="2058964894">
                      <w:marLeft w:val="0"/>
                      <w:marRight w:val="0"/>
                      <w:marTop w:val="0"/>
                      <w:marBottom w:val="0"/>
                      <w:divBdr>
                        <w:top w:val="none" w:sz="0" w:space="0" w:color="auto"/>
                        <w:left w:val="none" w:sz="0" w:space="0" w:color="auto"/>
                        <w:bottom w:val="none" w:sz="0" w:space="0" w:color="auto"/>
                        <w:right w:val="none" w:sz="0" w:space="0" w:color="auto"/>
                      </w:divBdr>
                    </w:div>
                  </w:divsChild>
                </w:div>
                <w:div w:id="528949954">
                  <w:marLeft w:val="0"/>
                  <w:marRight w:val="0"/>
                  <w:marTop w:val="0"/>
                  <w:marBottom w:val="0"/>
                  <w:divBdr>
                    <w:top w:val="none" w:sz="0" w:space="0" w:color="auto"/>
                    <w:left w:val="none" w:sz="0" w:space="0" w:color="auto"/>
                    <w:bottom w:val="none" w:sz="0" w:space="0" w:color="auto"/>
                    <w:right w:val="none" w:sz="0" w:space="0" w:color="auto"/>
                  </w:divBdr>
                  <w:divsChild>
                    <w:div w:id="331421939">
                      <w:marLeft w:val="0"/>
                      <w:marRight w:val="0"/>
                      <w:marTop w:val="0"/>
                      <w:marBottom w:val="0"/>
                      <w:divBdr>
                        <w:top w:val="none" w:sz="0" w:space="0" w:color="auto"/>
                        <w:left w:val="none" w:sz="0" w:space="0" w:color="auto"/>
                        <w:bottom w:val="none" w:sz="0" w:space="0" w:color="auto"/>
                        <w:right w:val="none" w:sz="0" w:space="0" w:color="auto"/>
                      </w:divBdr>
                    </w:div>
                  </w:divsChild>
                </w:div>
                <w:div w:id="446702950">
                  <w:marLeft w:val="0"/>
                  <w:marRight w:val="0"/>
                  <w:marTop w:val="0"/>
                  <w:marBottom w:val="0"/>
                  <w:divBdr>
                    <w:top w:val="none" w:sz="0" w:space="0" w:color="auto"/>
                    <w:left w:val="none" w:sz="0" w:space="0" w:color="auto"/>
                    <w:bottom w:val="none" w:sz="0" w:space="0" w:color="auto"/>
                    <w:right w:val="none" w:sz="0" w:space="0" w:color="auto"/>
                  </w:divBdr>
                  <w:divsChild>
                    <w:div w:id="156113849">
                      <w:marLeft w:val="0"/>
                      <w:marRight w:val="0"/>
                      <w:marTop w:val="0"/>
                      <w:marBottom w:val="0"/>
                      <w:divBdr>
                        <w:top w:val="none" w:sz="0" w:space="0" w:color="auto"/>
                        <w:left w:val="none" w:sz="0" w:space="0" w:color="auto"/>
                        <w:bottom w:val="none" w:sz="0" w:space="0" w:color="auto"/>
                        <w:right w:val="none" w:sz="0" w:space="0" w:color="auto"/>
                      </w:divBdr>
                    </w:div>
                  </w:divsChild>
                </w:div>
                <w:div w:id="608704939">
                  <w:marLeft w:val="0"/>
                  <w:marRight w:val="0"/>
                  <w:marTop w:val="0"/>
                  <w:marBottom w:val="0"/>
                  <w:divBdr>
                    <w:top w:val="none" w:sz="0" w:space="0" w:color="auto"/>
                    <w:left w:val="none" w:sz="0" w:space="0" w:color="auto"/>
                    <w:bottom w:val="none" w:sz="0" w:space="0" w:color="auto"/>
                    <w:right w:val="none" w:sz="0" w:space="0" w:color="auto"/>
                  </w:divBdr>
                  <w:divsChild>
                    <w:div w:id="1075664476">
                      <w:marLeft w:val="0"/>
                      <w:marRight w:val="0"/>
                      <w:marTop w:val="0"/>
                      <w:marBottom w:val="0"/>
                      <w:divBdr>
                        <w:top w:val="none" w:sz="0" w:space="0" w:color="auto"/>
                        <w:left w:val="none" w:sz="0" w:space="0" w:color="auto"/>
                        <w:bottom w:val="none" w:sz="0" w:space="0" w:color="auto"/>
                        <w:right w:val="none" w:sz="0" w:space="0" w:color="auto"/>
                      </w:divBdr>
                    </w:div>
                  </w:divsChild>
                </w:div>
                <w:div w:id="74516014">
                  <w:marLeft w:val="0"/>
                  <w:marRight w:val="0"/>
                  <w:marTop w:val="0"/>
                  <w:marBottom w:val="0"/>
                  <w:divBdr>
                    <w:top w:val="none" w:sz="0" w:space="0" w:color="auto"/>
                    <w:left w:val="none" w:sz="0" w:space="0" w:color="auto"/>
                    <w:bottom w:val="none" w:sz="0" w:space="0" w:color="auto"/>
                    <w:right w:val="none" w:sz="0" w:space="0" w:color="auto"/>
                  </w:divBdr>
                  <w:divsChild>
                    <w:div w:id="873077448">
                      <w:marLeft w:val="0"/>
                      <w:marRight w:val="0"/>
                      <w:marTop w:val="0"/>
                      <w:marBottom w:val="0"/>
                      <w:divBdr>
                        <w:top w:val="none" w:sz="0" w:space="0" w:color="auto"/>
                        <w:left w:val="none" w:sz="0" w:space="0" w:color="auto"/>
                        <w:bottom w:val="none" w:sz="0" w:space="0" w:color="auto"/>
                        <w:right w:val="none" w:sz="0" w:space="0" w:color="auto"/>
                      </w:divBdr>
                    </w:div>
                  </w:divsChild>
                </w:div>
                <w:div w:id="259262403">
                  <w:marLeft w:val="0"/>
                  <w:marRight w:val="0"/>
                  <w:marTop w:val="0"/>
                  <w:marBottom w:val="0"/>
                  <w:divBdr>
                    <w:top w:val="none" w:sz="0" w:space="0" w:color="auto"/>
                    <w:left w:val="none" w:sz="0" w:space="0" w:color="auto"/>
                    <w:bottom w:val="none" w:sz="0" w:space="0" w:color="auto"/>
                    <w:right w:val="none" w:sz="0" w:space="0" w:color="auto"/>
                  </w:divBdr>
                  <w:divsChild>
                    <w:div w:id="267011164">
                      <w:marLeft w:val="0"/>
                      <w:marRight w:val="0"/>
                      <w:marTop w:val="0"/>
                      <w:marBottom w:val="0"/>
                      <w:divBdr>
                        <w:top w:val="none" w:sz="0" w:space="0" w:color="auto"/>
                        <w:left w:val="none" w:sz="0" w:space="0" w:color="auto"/>
                        <w:bottom w:val="none" w:sz="0" w:space="0" w:color="auto"/>
                        <w:right w:val="none" w:sz="0" w:space="0" w:color="auto"/>
                      </w:divBdr>
                    </w:div>
                  </w:divsChild>
                </w:div>
                <w:div w:id="1764567730">
                  <w:marLeft w:val="0"/>
                  <w:marRight w:val="0"/>
                  <w:marTop w:val="0"/>
                  <w:marBottom w:val="0"/>
                  <w:divBdr>
                    <w:top w:val="none" w:sz="0" w:space="0" w:color="auto"/>
                    <w:left w:val="none" w:sz="0" w:space="0" w:color="auto"/>
                    <w:bottom w:val="none" w:sz="0" w:space="0" w:color="auto"/>
                    <w:right w:val="none" w:sz="0" w:space="0" w:color="auto"/>
                  </w:divBdr>
                  <w:divsChild>
                    <w:div w:id="1029262804">
                      <w:marLeft w:val="0"/>
                      <w:marRight w:val="0"/>
                      <w:marTop w:val="0"/>
                      <w:marBottom w:val="0"/>
                      <w:divBdr>
                        <w:top w:val="none" w:sz="0" w:space="0" w:color="auto"/>
                        <w:left w:val="none" w:sz="0" w:space="0" w:color="auto"/>
                        <w:bottom w:val="none" w:sz="0" w:space="0" w:color="auto"/>
                        <w:right w:val="none" w:sz="0" w:space="0" w:color="auto"/>
                      </w:divBdr>
                    </w:div>
                  </w:divsChild>
                </w:div>
                <w:div w:id="1991984451">
                  <w:marLeft w:val="0"/>
                  <w:marRight w:val="0"/>
                  <w:marTop w:val="0"/>
                  <w:marBottom w:val="0"/>
                  <w:divBdr>
                    <w:top w:val="none" w:sz="0" w:space="0" w:color="auto"/>
                    <w:left w:val="none" w:sz="0" w:space="0" w:color="auto"/>
                    <w:bottom w:val="none" w:sz="0" w:space="0" w:color="auto"/>
                    <w:right w:val="none" w:sz="0" w:space="0" w:color="auto"/>
                  </w:divBdr>
                  <w:divsChild>
                    <w:div w:id="1901939090">
                      <w:marLeft w:val="0"/>
                      <w:marRight w:val="0"/>
                      <w:marTop w:val="0"/>
                      <w:marBottom w:val="0"/>
                      <w:divBdr>
                        <w:top w:val="none" w:sz="0" w:space="0" w:color="auto"/>
                        <w:left w:val="none" w:sz="0" w:space="0" w:color="auto"/>
                        <w:bottom w:val="none" w:sz="0" w:space="0" w:color="auto"/>
                        <w:right w:val="none" w:sz="0" w:space="0" w:color="auto"/>
                      </w:divBdr>
                    </w:div>
                  </w:divsChild>
                </w:div>
                <w:div w:id="360400485">
                  <w:marLeft w:val="0"/>
                  <w:marRight w:val="0"/>
                  <w:marTop w:val="0"/>
                  <w:marBottom w:val="0"/>
                  <w:divBdr>
                    <w:top w:val="none" w:sz="0" w:space="0" w:color="auto"/>
                    <w:left w:val="none" w:sz="0" w:space="0" w:color="auto"/>
                    <w:bottom w:val="none" w:sz="0" w:space="0" w:color="auto"/>
                    <w:right w:val="none" w:sz="0" w:space="0" w:color="auto"/>
                  </w:divBdr>
                  <w:divsChild>
                    <w:div w:id="777724631">
                      <w:marLeft w:val="0"/>
                      <w:marRight w:val="0"/>
                      <w:marTop w:val="0"/>
                      <w:marBottom w:val="0"/>
                      <w:divBdr>
                        <w:top w:val="none" w:sz="0" w:space="0" w:color="auto"/>
                        <w:left w:val="none" w:sz="0" w:space="0" w:color="auto"/>
                        <w:bottom w:val="none" w:sz="0" w:space="0" w:color="auto"/>
                        <w:right w:val="none" w:sz="0" w:space="0" w:color="auto"/>
                      </w:divBdr>
                    </w:div>
                  </w:divsChild>
                </w:div>
                <w:div w:id="860238638">
                  <w:marLeft w:val="0"/>
                  <w:marRight w:val="0"/>
                  <w:marTop w:val="0"/>
                  <w:marBottom w:val="0"/>
                  <w:divBdr>
                    <w:top w:val="none" w:sz="0" w:space="0" w:color="auto"/>
                    <w:left w:val="none" w:sz="0" w:space="0" w:color="auto"/>
                    <w:bottom w:val="none" w:sz="0" w:space="0" w:color="auto"/>
                    <w:right w:val="none" w:sz="0" w:space="0" w:color="auto"/>
                  </w:divBdr>
                  <w:divsChild>
                    <w:div w:id="654069820">
                      <w:marLeft w:val="0"/>
                      <w:marRight w:val="0"/>
                      <w:marTop w:val="0"/>
                      <w:marBottom w:val="0"/>
                      <w:divBdr>
                        <w:top w:val="none" w:sz="0" w:space="0" w:color="auto"/>
                        <w:left w:val="none" w:sz="0" w:space="0" w:color="auto"/>
                        <w:bottom w:val="none" w:sz="0" w:space="0" w:color="auto"/>
                        <w:right w:val="none" w:sz="0" w:space="0" w:color="auto"/>
                      </w:divBdr>
                    </w:div>
                  </w:divsChild>
                </w:div>
                <w:div w:id="88354131">
                  <w:marLeft w:val="0"/>
                  <w:marRight w:val="0"/>
                  <w:marTop w:val="0"/>
                  <w:marBottom w:val="0"/>
                  <w:divBdr>
                    <w:top w:val="none" w:sz="0" w:space="0" w:color="auto"/>
                    <w:left w:val="none" w:sz="0" w:space="0" w:color="auto"/>
                    <w:bottom w:val="none" w:sz="0" w:space="0" w:color="auto"/>
                    <w:right w:val="none" w:sz="0" w:space="0" w:color="auto"/>
                  </w:divBdr>
                  <w:divsChild>
                    <w:div w:id="2129003677">
                      <w:marLeft w:val="0"/>
                      <w:marRight w:val="0"/>
                      <w:marTop w:val="0"/>
                      <w:marBottom w:val="0"/>
                      <w:divBdr>
                        <w:top w:val="none" w:sz="0" w:space="0" w:color="auto"/>
                        <w:left w:val="none" w:sz="0" w:space="0" w:color="auto"/>
                        <w:bottom w:val="none" w:sz="0" w:space="0" w:color="auto"/>
                        <w:right w:val="none" w:sz="0" w:space="0" w:color="auto"/>
                      </w:divBdr>
                    </w:div>
                  </w:divsChild>
                </w:div>
                <w:div w:id="1736321795">
                  <w:marLeft w:val="0"/>
                  <w:marRight w:val="0"/>
                  <w:marTop w:val="0"/>
                  <w:marBottom w:val="0"/>
                  <w:divBdr>
                    <w:top w:val="none" w:sz="0" w:space="0" w:color="auto"/>
                    <w:left w:val="none" w:sz="0" w:space="0" w:color="auto"/>
                    <w:bottom w:val="none" w:sz="0" w:space="0" w:color="auto"/>
                    <w:right w:val="none" w:sz="0" w:space="0" w:color="auto"/>
                  </w:divBdr>
                  <w:divsChild>
                    <w:div w:id="1683125425">
                      <w:marLeft w:val="0"/>
                      <w:marRight w:val="0"/>
                      <w:marTop w:val="0"/>
                      <w:marBottom w:val="0"/>
                      <w:divBdr>
                        <w:top w:val="none" w:sz="0" w:space="0" w:color="auto"/>
                        <w:left w:val="none" w:sz="0" w:space="0" w:color="auto"/>
                        <w:bottom w:val="none" w:sz="0" w:space="0" w:color="auto"/>
                        <w:right w:val="none" w:sz="0" w:space="0" w:color="auto"/>
                      </w:divBdr>
                    </w:div>
                  </w:divsChild>
                </w:div>
                <w:div w:id="1835991894">
                  <w:marLeft w:val="0"/>
                  <w:marRight w:val="0"/>
                  <w:marTop w:val="0"/>
                  <w:marBottom w:val="0"/>
                  <w:divBdr>
                    <w:top w:val="none" w:sz="0" w:space="0" w:color="auto"/>
                    <w:left w:val="none" w:sz="0" w:space="0" w:color="auto"/>
                    <w:bottom w:val="none" w:sz="0" w:space="0" w:color="auto"/>
                    <w:right w:val="none" w:sz="0" w:space="0" w:color="auto"/>
                  </w:divBdr>
                  <w:divsChild>
                    <w:div w:id="687368005">
                      <w:marLeft w:val="0"/>
                      <w:marRight w:val="0"/>
                      <w:marTop w:val="0"/>
                      <w:marBottom w:val="0"/>
                      <w:divBdr>
                        <w:top w:val="none" w:sz="0" w:space="0" w:color="auto"/>
                        <w:left w:val="none" w:sz="0" w:space="0" w:color="auto"/>
                        <w:bottom w:val="none" w:sz="0" w:space="0" w:color="auto"/>
                        <w:right w:val="none" w:sz="0" w:space="0" w:color="auto"/>
                      </w:divBdr>
                    </w:div>
                  </w:divsChild>
                </w:div>
                <w:div w:id="1875120658">
                  <w:marLeft w:val="0"/>
                  <w:marRight w:val="0"/>
                  <w:marTop w:val="0"/>
                  <w:marBottom w:val="0"/>
                  <w:divBdr>
                    <w:top w:val="none" w:sz="0" w:space="0" w:color="auto"/>
                    <w:left w:val="none" w:sz="0" w:space="0" w:color="auto"/>
                    <w:bottom w:val="none" w:sz="0" w:space="0" w:color="auto"/>
                    <w:right w:val="none" w:sz="0" w:space="0" w:color="auto"/>
                  </w:divBdr>
                  <w:divsChild>
                    <w:div w:id="24259623">
                      <w:marLeft w:val="0"/>
                      <w:marRight w:val="0"/>
                      <w:marTop w:val="0"/>
                      <w:marBottom w:val="0"/>
                      <w:divBdr>
                        <w:top w:val="none" w:sz="0" w:space="0" w:color="auto"/>
                        <w:left w:val="none" w:sz="0" w:space="0" w:color="auto"/>
                        <w:bottom w:val="none" w:sz="0" w:space="0" w:color="auto"/>
                        <w:right w:val="none" w:sz="0" w:space="0" w:color="auto"/>
                      </w:divBdr>
                    </w:div>
                  </w:divsChild>
                </w:div>
                <w:div w:id="676201579">
                  <w:marLeft w:val="0"/>
                  <w:marRight w:val="0"/>
                  <w:marTop w:val="0"/>
                  <w:marBottom w:val="0"/>
                  <w:divBdr>
                    <w:top w:val="none" w:sz="0" w:space="0" w:color="auto"/>
                    <w:left w:val="none" w:sz="0" w:space="0" w:color="auto"/>
                    <w:bottom w:val="none" w:sz="0" w:space="0" w:color="auto"/>
                    <w:right w:val="none" w:sz="0" w:space="0" w:color="auto"/>
                  </w:divBdr>
                  <w:divsChild>
                    <w:div w:id="1258635386">
                      <w:marLeft w:val="0"/>
                      <w:marRight w:val="0"/>
                      <w:marTop w:val="0"/>
                      <w:marBottom w:val="0"/>
                      <w:divBdr>
                        <w:top w:val="none" w:sz="0" w:space="0" w:color="auto"/>
                        <w:left w:val="none" w:sz="0" w:space="0" w:color="auto"/>
                        <w:bottom w:val="none" w:sz="0" w:space="0" w:color="auto"/>
                        <w:right w:val="none" w:sz="0" w:space="0" w:color="auto"/>
                      </w:divBdr>
                    </w:div>
                  </w:divsChild>
                </w:div>
                <w:div w:id="1675372651">
                  <w:marLeft w:val="0"/>
                  <w:marRight w:val="0"/>
                  <w:marTop w:val="0"/>
                  <w:marBottom w:val="0"/>
                  <w:divBdr>
                    <w:top w:val="none" w:sz="0" w:space="0" w:color="auto"/>
                    <w:left w:val="none" w:sz="0" w:space="0" w:color="auto"/>
                    <w:bottom w:val="none" w:sz="0" w:space="0" w:color="auto"/>
                    <w:right w:val="none" w:sz="0" w:space="0" w:color="auto"/>
                  </w:divBdr>
                  <w:divsChild>
                    <w:div w:id="2049914559">
                      <w:marLeft w:val="0"/>
                      <w:marRight w:val="0"/>
                      <w:marTop w:val="0"/>
                      <w:marBottom w:val="0"/>
                      <w:divBdr>
                        <w:top w:val="none" w:sz="0" w:space="0" w:color="auto"/>
                        <w:left w:val="none" w:sz="0" w:space="0" w:color="auto"/>
                        <w:bottom w:val="none" w:sz="0" w:space="0" w:color="auto"/>
                        <w:right w:val="none" w:sz="0" w:space="0" w:color="auto"/>
                      </w:divBdr>
                    </w:div>
                  </w:divsChild>
                </w:div>
                <w:div w:id="629867450">
                  <w:marLeft w:val="0"/>
                  <w:marRight w:val="0"/>
                  <w:marTop w:val="0"/>
                  <w:marBottom w:val="0"/>
                  <w:divBdr>
                    <w:top w:val="none" w:sz="0" w:space="0" w:color="auto"/>
                    <w:left w:val="none" w:sz="0" w:space="0" w:color="auto"/>
                    <w:bottom w:val="none" w:sz="0" w:space="0" w:color="auto"/>
                    <w:right w:val="none" w:sz="0" w:space="0" w:color="auto"/>
                  </w:divBdr>
                  <w:divsChild>
                    <w:div w:id="371852122">
                      <w:marLeft w:val="0"/>
                      <w:marRight w:val="0"/>
                      <w:marTop w:val="0"/>
                      <w:marBottom w:val="0"/>
                      <w:divBdr>
                        <w:top w:val="none" w:sz="0" w:space="0" w:color="auto"/>
                        <w:left w:val="none" w:sz="0" w:space="0" w:color="auto"/>
                        <w:bottom w:val="none" w:sz="0" w:space="0" w:color="auto"/>
                        <w:right w:val="none" w:sz="0" w:space="0" w:color="auto"/>
                      </w:divBdr>
                    </w:div>
                  </w:divsChild>
                </w:div>
                <w:div w:id="1438870913">
                  <w:marLeft w:val="0"/>
                  <w:marRight w:val="0"/>
                  <w:marTop w:val="0"/>
                  <w:marBottom w:val="0"/>
                  <w:divBdr>
                    <w:top w:val="none" w:sz="0" w:space="0" w:color="auto"/>
                    <w:left w:val="none" w:sz="0" w:space="0" w:color="auto"/>
                    <w:bottom w:val="none" w:sz="0" w:space="0" w:color="auto"/>
                    <w:right w:val="none" w:sz="0" w:space="0" w:color="auto"/>
                  </w:divBdr>
                  <w:divsChild>
                    <w:div w:id="279606969">
                      <w:marLeft w:val="0"/>
                      <w:marRight w:val="0"/>
                      <w:marTop w:val="0"/>
                      <w:marBottom w:val="0"/>
                      <w:divBdr>
                        <w:top w:val="none" w:sz="0" w:space="0" w:color="auto"/>
                        <w:left w:val="none" w:sz="0" w:space="0" w:color="auto"/>
                        <w:bottom w:val="none" w:sz="0" w:space="0" w:color="auto"/>
                        <w:right w:val="none" w:sz="0" w:space="0" w:color="auto"/>
                      </w:divBdr>
                    </w:div>
                  </w:divsChild>
                </w:div>
                <w:div w:id="1942688305">
                  <w:marLeft w:val="0"/>
                  <w:marRight w:val="0"/>
                  <w:marTop w:val="0"/>
                  <w:marBottom w:val="0"/>
                  <w:divBdr>
                    <w:top w:val="none" w:sz="0" w:space="0" w:color="auto"/>
                    <w:left w:val="none" w:sz="0" w:space="0" w:color="auto"/>
                    <w:bottom w:val="none" w:sz="0" w:space="0" w:color="auto"/>
                    <w:right w:val="none" w:sz="0" w:space="0" w:color="auto"/>
                  </w:divBdr>
                  <w:divsChild>
                    <w:div w:id="467893813">
                      <w:marLeft w:val="0"/>
                      <w:marRight w:val="0"/>
                      <w:marTop w:val="0"/>
                      <w:marBottom w:val="0"/>
                      <w:divBdr>
                        <w:top w:val="none" w:sz="0" w:space="0" w:color="auto"/>
                        <w:left w:val="none" w:sz="0" w:space="0" w:color="auto"/>
                        <w:bottom w:val="none" w:sz="0" w:space="0" w:color="auto"/>
                        <w:right w:val="none" w:sz="0" w:space="0" w:color="auto"/>
                      </w:divBdr>
                    </w:div>
                  </w:divsChild>
                </w:div>
                <w:div w:id="1222790684">
                  <w:marLeft w:val="0"/>
                  <w:marRight w:val="0"/>
                  <w:marTop w:val="0"/>
                  <w:marBottom w:val="0"/>
                  <w:divBdr>
                    <w:top w:val="none" w:sz="0" w:space="0" w:color="auto"/>
                    <w:left w:val="none" w:sz="0" w:space="0" w:color="auto"/>
                    <w:bottom w:val="none" w:sz="0" w:space="0" w:color="auto"/>
                    <w:right w:val="none" w:sz="0" w:space="0" w:color="auto"/>
                  </w:divBdr>
                  <w:divsChild>
                    <w:div w:id="1582058596">
                      <w:marLeft w:val="0"/>
                      <w:marRight w:val="0"/>
                      <w:marTop w:val="0"/>
                      <w:marBottom w:val="0"/>
                      <w:divBdr>
                        <w:top w:val="none" w:sz="0" w:space="0" w:color="auto"/>
                        <w:left w:val="none" w:sz="0" w:space="0" w:color="auto"/>
                        <w:bottom w:val="none" w:sz="0" w:space="0" w:color="auto"/>
                        <w:right w:val="none" w:sz="0" w:space="0" w:color="auto"/>
                      </w:divBdr>
                    </w:div>
                  </w:divsChild>
                </w:div>
                <w:div w:id="300883834">
                  <w:marLeft w:val="0"/>
                  <w:marRight w:val="0"/>
                  <w:marTop w:val="0"/>
                  <w:marBottom w:val="0"/>
                  <w:divBdr>
                    <w:top w:val="none" w:sz="0" w:space="0" w:color="auto"/>
                    <w:left w:val="none" w:sz="0" w:space="0" w:color="auto"/>
                    <w:bottom w:val="none" w:sz="0" w:space="0" w:color="auto"/>
                    <w:right w:val="none" w:sz="0" w:space="0" w:color="auto"/>
                  </w:divBdr>
                  <w:divsChild>
                    <w:div w:id="421031354">
                      <w:marLeft w:val="0"/>
                      <w:marRight w:val="0"/>
                      <w:marTop w:val="0"/>
                      <w:marBottom w:val="0"/>
                      <w:divBdr>
                        <w:top w:val="none" w:sz="0" w:space="0" w:color="auto"/>
                        <w:left w:val="none" w:sz="0" w:space="0" w:color="auto"/>
                        <w:bottom w:val="none" w:sz="0" w:space="0" w:color="auto"/>
                        <w:right w:val="none" w:sz="0" w:space="0" w:color="auto"/>
                      </w:divBdr>
                    </w:div>
                  </w:divsChild>
                </w:div>
                <w:div w:id="1363095125">
                  <w:marLeft w:val="0"/>
                  <w:marRight w:val="0"/>
                  <w:marTop w:val="0"/>
                  <w:marBottom w:val="0"/>
                  <w:divBdr>
                    <w:top w:val="none" w:sz="0" w:space="0" w:color="auto"/>
                    <w:left w:val="none" w:sz="0" w:space="0" w:color="auto"/>
                    <w:bottom w:val="none" w:sz="0" w:space="0" w:color="auto"/>
                    <w:right w:val="none" w:sz="0" w:space="0" w:color="auto"/>
                  </w:divBdr>
                  <w:divsChild>
                    <w:div w:id="769935560">
                      <w:marLeft w:val="0"/>
                      <w:marRight w:val="0"/>
                      <w:marTop w:val="0"/>
                      <w:marBottom w:val="0"/>
                      <w:divBdr>
                        <w:top w:val="none" w:sz="0" w:space="0" w:color="auto"/>
                        <w:left w:val="none" w:sz="0" w:space="0" w:color="auto"/>
                        <w:bottom w:val="none" w:sz="0" w:space="0" w:color="auto"/>
                        <w:right w:val="none" w:sz="0" w:space="0" w:color="auto"/>
                      </w:divBdr>
                    </w:div>
                  </w:divsChild>
                </w:div>
                <w:div w:id="1210537109">
                  <w:marLeft w:val="0"/>
                  <w:marRight w:val="0"/>
                  <w:marTop w:val="0"/>
                  <w:marBottom w:val="0"/>
                  <w:divBdr>
                    <w:top w:val="none" w:sz="0" w:space="0" w:color="auto"/>
                    <w:left w:val="none" w:sz="0" w:space="0" w:color="auto"/>
                    <w:bottom w:val="none" w:sz="0" w:space="0" w:color="auto"/>
                    <w:right w:val="none" w:sz="0" w:space="0" w:color="auto"/>
                  </w:divBdr>
                  <w:divsChild>
                    <w:div w:id="360713415">
                      <w:marLeft w:val="0"/>
                      <w:marRight w:val="0"/>
                      <w:marTop w:val="0"/>
                      <w:marBottom w:val="0"/>
                      <w:divBdr>
                        <w:top w:val="none" w:sz="0" w:space="0" w:color="auto"/>
                        <w:left w:val="none" w:sz="0" w:space="0" w:color="auto"/>
                        <w:bottom w:val="none" w:sz="0" w:space="0" w:color="auto"/>
                        <w:right w:val="none" w:sz="0" w:space="0" w:color="auto"/>
                      </w:divBdr>
                    </w:div>
                  </w:divsChild>
                </w:div>
                <w:div w:id="1239942692">
                  <w:marLeft w:val="0"/>
                  <w:marRight w:val="0"/>
                  <w:marTop w:val="0"/>
                  <w:marBottom w:val="0"/>
                  <w:divBdr>
                    <w:top w:val="none" w:sz="0" w:space="0" w:color="auto"/>
                    <w:left w:val="none" w:sz="0" w:space="0" w:color="auto"/>
                    <w:bottom w:val="none" w:sz="0" w:space="0" w:color="auto"/>
                    <w:right w:val="none" w:sz="0" w:space="0" w:color="auto"/>
                  </w:divBdr>
                  <w:divsChild>
                    <w:div w:id="1987464519">
                      <w:marLeft w:val="0"/>
                      <w:marRight w:val="0"/>
                      <w:marTop w:val="0"/>
                      <w:marBottom w:val="0"/>
                      <w:divBdr>
                        <w:top w:val="none" w:sz="0" w:space="0" w:color="auto"/>
                        <w:left w:val="none" w:sz="0" w:space="0" w:color="auto"/>
                        <w:bottom w:val="none" w:sz="0" w:space="0" w:color="auto"/>
                        <w:right w:val="none" w:sz="0" w:space="0" w:color="auto"/>
                      </w:divBdr>
                    </w:div>
                  </w:divsChild>
                </w:div>
                <w:div w:id="382827821">
                  <w:marLeft w:val="0"/>
                  <w:marRight w:val="0"/>
                  <w:marTop w:val="0"/>
                  <w:marBottom w:val="0"/>
                  <w:divBdr>
                    <w:top w:val="none" w:sz="0" w:space="0" w:color="auto"/>
                    <w:left w:val="none" w:sz="0" w:space="0" w:color="auto"/>
                    <w:bottom w:val="none" w:sz="0" w:space="0" w:color="auto"/>
                    <w:right w:val="none" w:sz="0" w:space="0" w:color="auto"/>
                  </w:divBdr>
                  <w:divsChild>
                    <w:div w:id="187986229">
                      <w:marLeft w:val="0"/>
                      <w:marRight w:val="0"/>
                      <w:marTop w:val="0"/>
                      <w:marBottom w:val="0"/>
                      <w:divBdr>
                        <w:top w:val="none" w:sz="0" w:space="0" w:color="auto"/>
                        <w:left w:val="none" w:sz="0" w:space="0" w:color="auto"/>
                        <w:bottom w:val="none" w:sz="0" w:space="0" w:color="auto"/>
                        <w:right w:val="none" w:sz="0" w:space="0" w:color="auto"/>
                      </w:divBdr>
                    </w:div>
                  </w:divsChild>
                </w:div>
                <w:div w:id="1972517034">
                  <w:marLeft w:val="0"/>
                  <w:marRight w:val="0"/>
                  <w:marTop w:val="0"/>
                  <w:marBottom w:val="0"/>
                  <w:divBdr>
                    <w:top w:val="none" w:sz="0" w:space="0" w:color="auto"/>
                    <w:left w:val="none" w:sz="0" w:space="0" w:color="auto"/>
                    <w:bottom w:val="none" w:sz="0" w:space="0" w:color="auto"/>
                    <w:right w:val="none" w:sz="0" w:space="0" w:color="auto"/>
                  </w:divBdr>
                  <w:divsChild>
                    <w:div w:id="1598782936">
                      <w:marLeft w:val="0"/>
                      <w:marRight w:val="0"/>
                      <w:marTop w:val="0"/>
                      <w:marBottom w:val="0"/>
                      <w:divBdr>
                        <w:top w:val="none" w:sz="0" w:space="0" w:color="auto"/>
                        <w:left w:val="none" w:sz="0" w:space="0" w:color="auto"/>
                        <w:bottom w:val="none" w:sz="0" w:space="0" w:color="auto"/>
                        <w:right w:val="none" w:sz="0" w:space="0" w:color="auto"/>
                      </w:divBdr>
                    </w:div>
                  </w:divsChild>
                </w:div>
                <w:div w:id="1014920326">
                  <w:marLeft w:val="0"/>
                  <w:marRight w:val="0"/>
                  <w:marTop w:val="0"/>
                  <w:marBottom w:val="0"/>
                  <w:divBdr>
                    <w:top w:val="none" w:sz="0" w:space="0" w:color="auto"/>
                    <w:left w:val="none" w:sz="0" w:space="0" w:color="auto"/>
                    <w:bottom w:val="none" w:sz="0" w:space="0" w:color="auto"/>
                    <w:right w:val="none" w:sz="0" w:space="0" w:color="auto"/>
                  </w:divBdr>
                  <w:divsChild>
                    <w:div w:id="2069305571">
                      <w:marLeft w:val="0"/>
                      <w:marRight w:val="0"/>
                      <w:marTop w:val="0"/>
                      <w:marBottom w:val="0"/>
                      <w:divBdr>
                        <w:top w:val="none" w:sz="0" w:space="0" w:color="auto"/>
                        <w:left w:val="none" w:sz="0" w:space="0" w:color="auto"/>
                        <w:bottom w:val="none" w:sz="0" w:space="0" w:color="auto"/>
                        <w:right w:val="none" w:sz="0" w:space="0" w:color="auto"/>
                      </w:divBdr>
                    </w:div>
                  </w:divsChild>
                </w:div>
                <w:div w:id="319625841">
                  <w:marLeft w:val="0"/>
                  <w:marRight w:val="0"/>
                  <w:marTop w:val="0"/>
                  <w:marBottom w:val="0"/>
                  <w:divBdr>
                    <w:top w:val="none" w:sz="0" w:space="0" w:color="auto"/>
                    <w:left w:val="none" w:sz="0" w:space="0" w:color="auto"/>
                    <w:bottom w:val="none" w:sz="0" w:space="0" w:color="auto"/>
                    <w:right w:val="none" w:sz="0" w:space="0" w:color="auto"/>
                  </w:divBdr>
                  <w:divsChild>
                    <w:div w:id="1457722033">
                      <w:marLeft w:val="0"/>
                      <w:marRight w:val="0"/>
                      <w:marTop w:val="0"/>
                      <w:marBottom w:val="0"/>
                      <w:divBdr>
                        <w:top w:val="none" w:sz="0" w:space="0" w:color="auto"/>
                        <w:left w:val="none" w:sz="0" w:space="0" w:color="auto"/>
                        <w:bottom w:val="none" w:sz="0" w:space="0" w:color="auto"/>
                        <w:right w:val="none" w:sz="0" w:space="0" w:color="auto"/>
                      </w:divBdr>
                    </w:div>
                  </w:divsChild>
                </w:div>
                <w:div w:id="158350604">
                  <w:marLeft w:val="0"/>
                  <w:marRight w:val="0"/>
                  <w:marTop w:val="0"/>
                  <w:marBottom w:val="0"/>
                  <w:divBdr>
                    <w:top w:val="none" w:sz="0" w:space="0" w:color="auto"/>
                    <w:left w:val="none" w:sz="0" w:space="0" w:color="auto"/>
                    <w:bottom w:val="none" w:sz="0" w:space="0" w:color="auto"/>
                    <w:right w:val="none" w:sz="0" w:space="0" w:color="auto"/>
                  </w:divBdr>
                  <w:divsChild>
                    <w:div w:id="1573659731">
                      <w:marLeft w:val="0"/>
                      <w:marRight w:val="0"/>
                      <w:marTop w:val="0"/>
                      <w:marBottom w:val="0"/>
                      <w:divBdr>
                        <w:top w:val="none" w:sz="0" w:space="0" w:color="auto"/>
                        <w:left w:val="none" w:sz="0" w:space="0" w:color="auto"/>
                        <w:bottom w:val="none" w:sz="0" w:space="0" w:color="auto"/>
                        <w:right w:val="none" w:sz="0" w:space="0" w:color="auto"/>
                      </w:divBdr>
                    </w:div>
                  </w:divsChild>
                </w:div>
                <w:div w:id="2058895616">
                  <w:marLeft w:val="0"/>
                  <w:marRight w:val="0"/>
                  <w:marTop w:val="0"/>
                  <w:marBottom w:val="0"/>
                  <w:divBdr>
                    <w:top w:val="none" w:sz="0" w:space="0" w:color="auto"/>
                    <w:left w:val="none" w:sz="0" w:space="0" w:color="auto"/>
                    <w:bottom w:val="none" w:sz="0" w:space="0" w:color="auto"/>
                    <w:right w:val="none" w:sz="0" w:space="0" w:color="auto"/>
                  </w:divBdr>
                  <w:divsChild>
                    <w:div w:id="481241918">
                      <w:marLeft w:val="0"/>
                      <w:marRight w:val="0"/>
                      <w:marTop w:val="0"/>
                      <w:marBottom w:val="0"/>
                      <w:divBdr>
                        <w:top w:val="none" w:sz="0" w:space="0" w:color="auto"/>
                        <w:left w:val="none" w:sz="0" w:space="0" w:color="auto"/>
                        <w:bottom w:val="none" w:sz="0" w:space="0" w:color="auto"/>
                        <w:right w:val="none" w:sz="0" w:space="0" w:color="auto"/>
                      </w:divBdr>
                    </w:div>
                  </w:divsChild>
                </w:div>
                <w:div w:id="133371608">
                  <w:marLeft w:val="0"/>
                  <w:marRight w:val="0"/>
                  <w:marTop w:val="0"/>
                  <w:marBottom w:val="0"/>
                  <w:divBdr>
                    <w:top w:val="none" w:sz="0" w:space="0" w:color="auto"/>
                    <w:left w:val="none" w:sz="0" w:space="0" w:color="auto"/>
                    <w:bottom w:val="none" w:sz="0" w:space="0" w:color="auto"/>
                    <w:right w:val="none" w:sz="0" w:space="0" w:color="auto"/>
                  </w:divBdr>
                  <w:divsChild>
                    <w:div w:id="1097944700">
                      <w:marLeft w:val="0"/>
                      <w:marRight w:val="0"/>
                      <w:marTop w:val="0"/>
                      <w:marBottom w:val="0"/>
                      <w:divBdr>
                        <w:top w:val="none" w:sz="0" w:space="0" w:color="auto"/>
                        <w:left w:val="none" w:sz="0" w:space="0" w:color="auto"/>
                        <w:bottom w:val="none" w:sz="0" w:space="0" w:color="auto"/>
                        <w:right w:val="none" w:sz="0" w:space="0" w:color="auto"/>
                      </w:divBdr>
                    </w:div>
                  </w:divsChild>
                </w:div>
                <w:div w:id="2063207168">
                  <w:marLeft w:val="0"/>
                  <w:marRight w:val="0"/>
                  <w:marTop w:val="0"/>
                  <w:marBottom w:val="0"/>
                  <w:divBdr>
                    <w:top w:val="none" w:sz="0" w:space="0" w:color="auto"/>
                    <w:left w:val="none" w:sz="0" w:space="0" w:color="auto"/>
                    <w:bottom w:val="none" w:sz="0" w:space="0" w:color="auto"/>
                    <w:right w:val="none" w:sz="0" w:space="0" w:color="auto"/>
                  </w:divBdr>
                  <w:divsChild>
                    <w:div w:id="1649899378">
                      <w:marLeft w:val="0"/>
                      <w:marRight w:val="0"/>
                      <w:marTop w:val="0"/>
                      <w:marBottom w:val="0"/>
                      <w:divBdr>
                        <w:top w:val="none" w:sz="0" w:space="0" w:color="auto"/>
                        <w:left w:val="none" w:sz="0" w:space="0" w:color="auto"/>
                        <w:bottom w:val="none" w:sz="0" w:space="0" w:color="auto"/>
                        <w:right w:val="none" w:sz="0" w:space="0" w:color="auto"/>
                      </w:divBdr>
                    </w:div>
                  </w:divsChild>
                </w:div>
                <w:div w:id="1748261620">
                  <w:marLeft w:val="0"/>
                  <w:marRight w:val="0"/>
                  <w:marTop w:val="0"/>
                  <w:marBottom w:val="0"/>
                  <w:divBdr>
                    <w:top w:val="none" w:sz="0" w:space="0" w:color="auto"/>
                    <w:left w:val="none" w:sz="0" w:space="0" w:color="auto"/>
                    <w:bottom w:val="none" w:sz="0" w:space="0" w:color="auto"/>
                    <w:right w:val="none" w:sz="0" w:space="0" w:color="auto"/>
                  </w:divBdr>
                  <w:divsChild>
                    <w:div w:id="228148879">
                      <w:marLeft w:val="0"/>
                      <w:marRight w:val="0"/>
                      <w:marTop w:val="0"/>
                      <w:marBottom w:val="0"/>
                      <w:divBdr>
                        <w:top w:val="none" w:sz="0" w:space="0" w:color="auto"/>
                        <w:left w:val="none" w:sz="0" w:space="0" w:color="auto"/>
                        <w:bottom w:val="none" w:sz="0" w:space="0" w:color="auto"/>
                        <w:right w:val="none" w:sz="0" w:space="0" w:color="auto"/>
                      </w:divBdr>
                    </w:div>
                  </w:divsChild>
                </w:div>
                <w:div w:id="1885675666">
                  <w:marLeft w:val="0"/>
                  <w:marRight w:val="0"/>
                  <w:marTop w:val="0"/>
                  <w:marBottom w:val="0"/>
                  <w:divBdr>
                    <w:top w:val="none" w:sz="0" w:space="0" w:color="auto"/>
                    <w:left w:val="none" w:sz="0" w:space="0" w:color="auto"/>
                    <w:bottom w:val="none" w:sz="0" w:space="0" w:color="auto"/>
                    <w:right w:val="none" w:sz="0" w:space="0" w:color="auto"/>
                  </w:divBdr>
                  <w:divsChild>
                    <w:div w:id="16735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4823">
          <w:marLeft w:val="0"/>
          <w:marRight w:val="0"/>
          <w:marTop w:val="0"/>
          <w:marBottom w:val="0"/>
          <w:divBdr>
            <w:top w:val="none" w:sz="0" w:space="0" w:color="auto"/>
            <w:left w:val="none" w:sz="0" w:space="0" w:color="auto"/>
            <w:bottom w:val="none" w:sz="0" w:space="0" w:color="auto"/>
            <w:right w:val="none" w:sz="0" w:space="0" w:color="auto"/>
          </w:divBdr>
        </w:div>
      </w:divsChild>
    </w:div>
    <w:div w:id="680550521">
      <w:bodyDiv w:val="1"/>
      <w:marLeft w:val="0"/>
      <w:marRight w:val="0"/>
      <w:marTop w:val="0"/>
      <w:marBottom w:val="0"/>
      <w:divBdr>
        <w:top w:val="none" w:sz="0" w:space="0" w:color="auto"/>
        <w:left w:val="none" w:sz="0" w:space="0" w:color="auto"/>
        <w:bottom w:val="none" w:sz="0" w:space="0" w:color="auto"/>
        <w:right w:val="none" w:sz="0" w:space="0" w:color="auto"/>
      </w:divBdr>
    </w:div>
    <w:div w:id="1147281778">
      <w:bodyDiv w:val="1"/>
      <w:marLeft w:val="0"/>
      <w:marRight w:val="0"/>
      <w:marTop w:val="0"/>
      <w:marBottom w:val="0"/>
      <w:divBdr>
        <w:top w:val="none" w:sz="0" w:space="0" w:color="auto"/>
        <w:left w:val="none" w:sz="0" w:space="0" w:color="auto"/>
        <w:bottom w:val="none" w:sz="0" w:space="0" w:color="auto"/>
        <w:right w:val="none" w:sz="0" w:space="0" w:color="auto"/>
      </w:divBdr>
    </w:div>
    <w:div w:id="17867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7ea7f1e35fb14457"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9feb60b8744d4ba6"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mktgdocs.cbre.com/2299/cc58adcc-3fcc-494a-bbce-9fad5356f1da-764505095/Australia_s_Renewable_Energy_M.pdf" TargetMode="External"/><Relationship Id="rId13" Type="http://schemas.openxmlformats.org/officeDocument/2006/relationships/hyperlink" Target="https://www.dcceew.gov.au/energy/renewable/priority-list" TargetMode="External"/><Relationship Id="rId18" Type="http://schemas.openxmlformats.org/officeDocument/2006/relationships/hyperlink" Target="https://qrec.org.au/wp-content/uploads/2024/02/ProjectPathway_CommonwealthApprovalProcess.pdf" TargetMode="External"/><Relationship Id="rId3" Type="http://schemas.openxmlformats.org/officeDocument/2006/relationships/hyperlink" Target="https://www.energy.gov.au/sites/default/files/2024-12/First%20Nations%20Clean%20Energy%20Strategy.pdf" TargetMode="External"/><Relationship Id="rId21" Type="http://schemas.openxmlformats.org/officeDocument/2006/relationships/hyperlink" Target="https://www.noordzeeloket.nl/en/functions-use/offshore-wind-energy/preparatory-work-wind-farms/" TargetMode="External"/><Relationship Id="rId7" Type="http://schemas.openxmlformats.org/officeDocument/2006/relationships/hyperlink" Target="https://www.uts.edu.au/globalassets/sites/default/files/2024-09/nem-2024-workforce_final.pdf" TargetMode="External"/><Relationship Id="rId12" Type="http://schemas.openxmlformats.org/officeDocument/2006/relationships/hyperlink" Target="https://icn.org.au/who-are-we/" TargetMode="External"/><Relationship Id="rId17" Type="http://schemas.openxmlformats.org/officeDocument/2006/relationships/hyperlink" Target="https://business.gov.au/expertise-and-advice/major-projects-facilitation-agency/major-projects-facilitation-agency-fact-sheets" TargetMode="External"/><Relationship Id="rId2" Type="http://schemas.openxmlformats.org/officeDocument/2006/relationships/hyperlink" Target="https://www.ilsc.gov.au/wp-content/uploads/2022/05/Investment-Capital-Discussion-Paper.pdf" TargetMode="External"/><Relationship Id="rId16" Type="http://schemas.openxmlformats.org/officeDocument/2006/relationships/hyperlink" Target="https://www.ceig.org.au/wp-content/uploads/2025/07/2025-Clean-Energy-Outlook_CEIG-Annual-Member-Survey-Results-2.pdf" TargetMode="External"/><Relationship Id="rId20" Type="http://schemas.openxmlformats.org/officeDocument/2006/relationships/hyperlink" Target="https://aemo.com.au/-/media/files/electricity/nem/network_connections/connections-scorecard/2025/march-2025.pdf?la=en" TargetMode="External"/><Relationship Id="rId1" Type="http://schemas.openxmlformats.org/officeDocument/2006/relationships/hyperlink" Target="https://about.bnef.com/insights/clean-energy/urgent-scale-up-of-clean-technologies-needed-to-keep-australia-on-net-zero-trajectory/" TargetMode="External"/><Relationship Id="rId6" Type="http://schemas.openxmlformats.org/officeDocument/2006/relationships/hyperlink" Target="https://weldaustralia.com.au/news-views/weld-australia-demands-answers/" TargetMode="External"/><Relationship Id="rId11" Type="http://schemas.openxmlformats.org/officeDocument/2006/relationships/hyperlink" Target="https://doi.org/10.1787/f2c22c96-en" TargetMode="External"/><Relationship Id="rId5" Type="http://schemas.openxmlformats.org/officeDocument/2006/relationships/hyperlink" Target="https://www.cefc.com.au/document?file=/media/d3dodzn3/cefc_annualreport2023-24.pdf" TargetMode="External"/><Relationship Id="rId15" Type="http://schemas.openxmlformats.org/officeDocument/2006/relationships/hyperlink" Target="https://www.ceig.org.au/wp-content/uploads/2024/12/HSF-x-CEIG-EPBC-Act-Report.pdf" TargetMode="External"/><Relationship Id="rId10" Type="http://schemas.openxmlformats.org/officeDocument/2006/relationships/hyperlink" Target="https://aemo.com.au/-/media/files/electricity/nem/network_connections/connections-scorecard/2025/march-2025.pdf?la=en" TargetMode="External"/><Relationship Id="rId19" Type="http://schemas.openxmlformats.org/officeDocument/2006/relationships/hyperlink" Target="https://foreigninvestment.gov.au/guidance/general/monetary-thresholds" TargetMode="External"/><Relationship Id="rId4" Type="http://schemas.openxmlformats.org/officeDocument/2006/relationships/hyperlink" Target="https://arena.gov.au/assets/2022/10/Annual-Report-2024-FNL_Digital.pdf" TargetMode="External"/><Relationship Id="rId9" Type="http://schemas.openxmlformats.org/officeDocument/2006/relationships/hyperlink" Target="https://iceds.anu.edu.au/files/ZCEAP_CCEP_WP_Lead%20times%20solar%20wind.pdf" TargetMode="External"/><Relationship Id="rId14" Type="http://schemas.openxmlformats.org/officeDocument/2006/relationships/hyperlink" Target="https://www.ceig.org.au/wp-content/uploads/2024/04/HSF-_-CEIG-Report-Delivering-major-clean-energy-projects-in-QLD-and-VIC.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ZEA">
      <a:dk1>
        <a:srgbClr val="000000"/>
      </a:dk1>
      <a:lt1>
        <a:srgbClr val="FFFFFF"/>
      </a:lt1>
      <a:dk2>
        <a:srgbClr val="002C6F"/>
      </a:dk2>
      <a:lt2>
        <a:srgbClr val="EFF6FF"/>
      </a:lt2>
      <a:accent1>
        <a:srgbClr val="17D3A1"/>
      </a:accent1>
      <a:accent2>
        <a:srgbClr val="003C2A"/>
      </a:accent2>
      <a:accent3>
        <a:srgbClr val="499BFF"/>
      </a:accent3>
      <a:accent4>
        <a:srgbClr val="FF6F47"/>
      </a:accent4>
      <a:accent5>
        <a:srgbClr val="7C070F"/>
      </a:accent5>
      <a:accent6>
        <a:srgbClr val="49F3FF"/>
      </a:accent6>
      <a:hlink>
        <a:srgbClr val="002C6F"/>
      </a:hlink>
      <a:folHlink>
        <a:srgbClr val="002C6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3939</Words>
  <Characters>22456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2025-07-28T00:37:00Z</dcterms:created>
  <dcterms:modified xsi:type="dcterms:W3CDTF">2025-07-28T00:37:00Z</dcterms:modified>
</cp:coreProperties>
</file>